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240" w:lineRule="auto"/>
        <w:rPr>
          <w:b/>
        </w:rPr>
      </w:pPr>
      <w:r>
        <w:rPr>
          <w:b/>
        </w:rPr>
        <w:t xml:space="preserve">ПОЯСНИТЕЛЬНАЯ ЗАПИСКА</w:t>
      </w:r>
      <w:r>
        <w:rPr>
          <w:b/>
        </w:rPr>
      </w:r>
      <w:r>
        <w:rPr>
          <w:b/>
        </w:rPr>
      </w:r>
    </w:p>
    <w:p>
      <w:pPr>
        <w:jc w:val="center"/>
        <w:spacing w:after="0" w:line="240" w:lineRule="auto"/>
      </w:pPr>
      <w:r>
        <w:t xml:space="preserve">на 01 Января 2026 года</w:t>
      </w:r>
      <w:r/>
    </w:p>
    <w:p>
      <w:pPr>
        <w:ind w:left="7080" w:firstLine="708"/>
        <w:jc w:val="center"/>
        <w:spacing w:after="0" w:line="240" w:lineRule="auto"/>
        <w:rPr>
          <w:sz w:val="18"/>
          <w:szCs w:val="18"/>
        </w:rPr>
      </w:pPr>
      <w:r>
        <w:rPr>
          <w:sz w:val="18"/>
          <w:szCs w:val="18"/>
        </w:rPr>
        <w:t xml:space="preserve">             КОДЫ</w:t>
      </w:r>
      <w:r>
        <w:rPr>
          <w:sz w:val="18"/>
          <w:szCs w:val="18"/>
        </w:rPr>
      </w:r>
      <w:r>
        <w:rPr>
          <w:sz w:val="18"/>
          <w:szCs w:val="18"/>
        </w:rPr>
      </w:r>
    </w:p>
    <w:tbl>
      <w:tblPr>
        <w:tblpPr w:horzAnchor="text" w:tblpXSpec="right" w:vertAnchor="text" w:tblpY="1" w:leftFromText="180" w:topFromText="0" w:rightFromText="180" w:bottomFromText="0"/>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1411"/>
      </w:tblGrid>
      <w:tr>
        <w:tblPrEx/>
        <w:trPr/>
        <w:tc>
          <w:tcPr>
            <w:tcW w:w="1411" w:type="dxa"/>
            <w:vAlign w:val="center"/>
            <w:textDirection w:val="lrTb"/>
            <w:noWrap w:val="false"/>
          </w:tcPr>
          <w:p>
            <w:pPr>
              <w:ind w:left="-2808"/>
              <w:spacing w:after="0" w:line="240" w:lineRule="auto"/>
              <w:tabs>
                <w:tab w:val="center" w:pos="-740" w:leader="none"/>
                <w:tab w:val="left" w:pos="284" w:leader="none"/>
              </w:tabs>
              <w:rPr>
                <w:sz w:val="18"/>
                <w:szCs w:val="18"/>
              </w:rPr>
            </w:pPr>
            <w:r>
              <w:rPr>
                <w:sz w:val="18"/>
                <w:szCs w:val="18"/>
              </w:rPr>
              <w:tab/>
            </w:r>
            <w:r>
              <w:rPr>
                <w:sz w:val="18"/>
                <w:szCs w:val="18"/>
              </w:rPr>
              <w:tab/>
              <w:t xml:space="preserve">0503160</w:t>
            </w:r>
            <w:r>
              <w:rPr>
                <w:sz w:val="18"/>
                <w:szCs w:val="18"/>
              </w:rPr>
            </w:r>
            <w:r>
              <w:rPr>
                <w:sz w:val="18"/>
                <w:szCs w:val="18"/>
              </w:rPr>
            </w:r>
          </w:p>
        </w:tc>
      </w:tr>
      <w:tr>
        <w:tblPrEx/>
        <w:trPr/>
        <w:tc>
          <w:tcPr>
            <w:tcW w:w="1411" w:type="dxa"/>
            <w:vAlign w:val="center"/>
            <w:textDirection w:val="lrTb"/>
            <w:noWrap w:val="false"/>
          </w:tcPr>
          <w:p>
            <w:pPr>
              <w:jc w:val="center"/>
              <w:spacing w:after="0" w:line="240" w:lineRule="auto"/>
              <w:rPr>
                <w:sz w:val="18"/>
                <w:szCs w:val="18"/>
              </w:rPr>
            </w:pPr>
            <w:r>
              <w:rPr>
                <w:sz w:val="18"/>
                <w:szCs w:val="18"/>
              </w:rPr>
              <w:t xml:space="preserve">01.01.2026</w:t>
            </w:r>
            <w:r>
              <w:rPr>
                <w:sz w:val="18"/>
                <w:szCs w:val="18"/>
              </w:rPr>
            </w:r>
            <w:r>
              <w:rPr>
                <w:sz w:val="18"/>
                <w:szCs w:val="18"/>
              </w:rPr>
            </w:r>
          </w:p>
        </w:tc>
      </w:tr>
      <w:tr>
        <w:tblPrEx/>
        <w:trPr/>
        <w:tc>
          <w:tcPr>
            <w:tcW w:w="1411" w:type="dxa"/>
            <w:vAlign w:val="center"/>
            <w:textDirection w:val="lrTb"/>
            <w:noWrap w:val="false"/>
          </w:tcPr>
          <w:p>
            <w:pPr>
              <w:jc w:val="center"/>
              <w:spacing w:after="0"/>
              <w:rPr>
                <w:rFonts w:ascii="PT Astra Serif" w:hAnsi="PT Astra Serif" w:cs="PT Astra Serif"/>
                <w:sz w:val="20"/>
                <w:szCs w:val="20"/>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333333"/>
                <w:sz w:val="20"/>
                <w:szCs w:val="20"/>
              </w:rPr>
              <w:t xml:space="preserve">02539418</w:t>
            </w:r>
            <w:r>
              <w:rPr>
                <w:rFonts w:ascii="PT Astra Serif" w:hAnsi="PT Astra Serif" w:cs="PT Astra Serif"/>
                <w:sz w:val="20"/>
                <w:szCs w:val="20"/>
              </w:rPr>
            </w:r>
            <w:r>
              <w:rPr>
                <w:rFonts w:ascii="PT Astra Serif" w:hAnsi="PT Astra Serif" w:cs="PT Astra Serif"/>
                <w:sz w:val="20"/>
                <w:szCs w:val="20"/>
              </w:rPr>
            </w:r>
          </w:p>
          <w:p>
            <w:pPr>
              <w:spacing w:after="0" w:line="240" w:lineRule="auto"/>
              <w:rPr>
                <w:sz w:val="18"/>
                <w:szCs w:val="18"/>
              </w:rPr>
            </w:pPr>
            <w:r>
              <w:rPr>
                <w:sz w:val="18"/>
                <w:szCs w:val="18"/>
              </w:rPr>
            </w:r>
            <w:r>
              <w:rPr>
                <w:sz w:val="18"/>
                <w:szCs w:val="18"/>
              </w:rPr>
            </w:r>
            <w:r>
              <w:rPr>
                <w:sz w:val="18"/>
                <w:szCs w:val="18"/>
              </w:rPr>
            </w:r>
          </w:p>
        </w:tc>
      </w:tr>
      <w:tr>
        <w:tblPrEx/>
        <w:trPr>
          <w:trHeight w:val="768"/>
        </w:trPr>
        <w:tc>
          <w:tcPr>
            <w:tcW w:w="1411" w:type="dxa"/>
            <w:vAlign w:val="center"/>
            <w:textDirection w:val="lrTb"/>
            <w:noWrap w:val="false"/>
          </w:tcPr>
          <w:p>
            <w:pPr>
              <w:jc w:val="center"/>
              <w:spacing w:after="0" w:line="240" w:lineRule="auto"/>
              <w:rPr>
                <w:sz w:val="18"/>
                <w:szCs w:val="18"/>
              </w:rPr>
            </w:pPr>
            <w:r>
              <w:rPr>
                <w:sz w:val="18"/>
                <w:szCs w:val="18"/>
              </w:rPr>
              <w:t xml:space="preserve">816</w:t>
            </w:r>
            <w:r>
              <w:rPr>
                <w:sz w:val="18"/>
                <w:szCs w:val="18"/>
              </w:rPr>
            </w:r>
            <w:r>
              <w:rPr>
                <w:sz w:val="18"/>
                <w:szCs w:val="18"/>
              </w:rPr>
            </w:r>
          </w:p>
        </w:tc>
      </w:tr>
      <w:tr>
        <w:tblPrEx/>
        <w:trPr>
          <w:trHeight w:val="345"/>
        </w:trPr>
        <w:tc>
          <w:tcPr>
            <w:tcW w:w="1411" w:type="dxa"/>
            <w:vAlign w:val="center"/>
            <w:textDirection w:val="lrTb"/>
            <w:noWrap w:val="false"/>
          </w:tcPr>
          <w:p>
            <w:pPr>
              <w:jc w:val="center"/>
              <w:spacing w:after="0" w:line="240" w:lineRule="auto"/>
              <w:rPr>
                <w:sz w:val="18"/>
                <w:szCs w:val="18"/>
              </w:rPr>
            </w:pPr>
            <w:r>
              <w:rPr>
                <w:sz w:val="18"/>
                <w:szCs w:val="18"/>
              </w:rPr>
              <w:t xml:space="preserve">69401000000</w:t>
            </w:r>
            <w:r>
              <w:rPr>
                <w:sz w:val="18"/>
                <w:szCs w:val="18"/>
              </w:rPr>
            </w:r>
            <w:r>
              <w:rPr>
                <w:sz w:val="18"/>
                <w:szCs w:val="18"/>
              </w:rPr>
            </w:r>
          </w:p>
        </w:tc>
      </w:tr>
      <w:tr>
        <w:tblPrEx/>
        <w:trPr/>
        <w:tc>
          <w:tcPr>
            <w:tcW w:w="1411" w:type="dxa"/>
            <w:textDirection w:val="lrTb"/>
            <w:noWrap w:val="false"/>
          </w:tcPr>
          <w:p>
            <w:pPr>
              <w:jc w:val="center"/>
              <w:spacing w:after="0" w:line="240" w:lineRule="auto"/>
              <w:rPr>
                <w:sz w:val="18"/>
                <w:szCs w:val="18"/>
              </w:rPr>
            </w:pPr>
            <w:r>
              <w:rPr>
                <w:sz w:val="18"/>
                <w:szCs w:val="18"/>
              </w:rPr>
            </w:r>
            <w:r>
              <w:rPr>
                <w:sz w:val="18"/>
                <w:szCs w:val="18"/>
              </w:rPr>
            </w:r>
            <w:r>
              <w:rPr>
                <w:sz w:val="18"/>
                <w:szCs w:val="18"/>
              </w:rPr>
            </w:r>
          </w:p>
        </w:tc>
      </w:tr>
      <w:tr>
        <w:tblPrEx/>
        <w:trPr>
          <w:trHeight w:val="490"/>
        </w:trPr>
        <w:tc>
          <w:tcPr>
            <w:tcW w:w="1411" w:type="dxa"/>
            <w:vAlign w:val="center"/>
            <w:textDirection w:val="lrTb"/>
            <w:noWrap w:val="false"/>
          </w:tcPr>
          <w:p>
            <w:pPr>
              <w:jc w:val="center"/>
              <w:spacing w:after="0" w:line="240" w:lineRule="auto"/>
              <w:rPr>
                <w:sz w:val="18"/>
                <w:szCs w:val="18"/>
              </w:rPr>
            </w:pPr>
            <w:r>
              <w:rPr>
                <w:sz w:val="18"/>
                <w:szCs w:val="18"/>
              </w:rPr>
              <w:t xml:space="preserve">383</w:t>
            </w:r>
            <w:r>
              <w:rPr>
                <w:sz w:val="18"/>
                <w:szCs w:val="18"/>
              </w:rPr>
            </w:r>
            <w:r>
              <w:rPr>
                <w:sz w:val="18"/>
                <w:szCs w:val="18"/>
              </w:rPr>
            </w:r>
          </w:p>
        </w:tc>
      </w:tr>
    </w:tbl>
    <w:p>
      <w:pPr>
        <w:spacing w:after="0" w:line="240" w:lineRule="auto"/>
        <w:rPr>
          <w:sz w:val="18"/>
          <w:szCs w:val="18"/>
        </w:rPr>
      </w:pPr>
      <w:r>
        <w:rPr>
          <w:sz w:val="18"/>
          <w:szCs w:val="18"/>
        </w:rPr>
        <w:t xml:space="preserve">Главный распорядитель,</w:t>
      </w:r>
      <w:r>
        <w:rPr>
          <w:sz w:val="18"/>
          <w:szCs w:val="18"/>
        </w:rPr>
        <w:tab/>
      </w:r>
      <w:r>
        <w:rPr>
          <w:sz w:val="18"/>
          <w:szCs w:val="18"/>
        </w:rPr>
        <w:tab/>
      </w:r>
      <w:r>
        <w:rPr>
          <w:sz w:val="18"/>
          <w:szCs w:val="18"/>
        </w:rPr>
        <w:tab/>
      </w:r>
      <w:r>
        <w:rPr>
          <w:sz w:val="18"/>
          <w:szCs w:val="18"/>
        </w:rPr>
        <w:tab/>
      </w:r>
      <w:r>
        <w:rPr>
          <w:sz w:val="18"/>
          <w:szCs w:val="18"/>
        </w:rPr>
        <w:tab/>
        <w:t xml:space="preserve">        </w:t>
      </w:r>
      <w:r>
        <w:rPr>
          <w:sz w:val="18"/>
          <w:szCs w:val="18"/>
        </w:rPr>
        <w:tab/>
        <w:t xml:space="preserve">                       Форма по ОКУД</w:t>
      </w:r>
      <w:r>
        <w:rPr>
          <w:sz w:val="18"/>
          <w:szCs w:val="18"/>
        </w:rPr>
      </w:r>
      <w:r>
        <w:rPr>
          <w:sz w:val="18"/>
          <w:szCs w:val="18"/>
        </w:rPr>
      </w:r>
    </w:p>
    <w:p>
      <w:pPr>
        <w:spacing w:after="0" w:line="240" w:lineRule="auto"/>
        <w:rPr>
          <w:sz w:val="18"/>
          <w:szCs w:val="18"/>
        </w:rPr>
      </w:pPr>
      <w:r>
        <w:rPr>
          <w:sz w:val="18"/>
          <w:szCs w:val="18"/>
        </w:rPr>
        <w:t xml:space="preserve">распорядитель, получатель</w:t>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Дата</w:t>
      </w:r>
      <w:r>
        <w:rPr>
          <w:sz w:val="18"/>
          <w:szCs w:val="18"/>
        </w:rPr>
      </w:r>
      <w:r>
        <w:rPr>
          <w:sz w:val="18"/>
          <w:szCs w:val="18"/>
        </w:rPr>
      </w:r>
    </w:p>
    <w:p>
      <w:pPr>
        <w:spacing w:after="0" w:line="240" w:lineRule="auto"/>
        <w:rPr>
          <w:sz w:val="18"/>
          <w:szCs w:val="18"/>
        </w:rPr>
      </w:pPr>
      <w:r>
        <w:rPr>
          <w:sz w:val="18"/>
          <w:szCs w:val="18"/>
        </w:rPr>
        <w:t xml:space="preserve">бюджетных средств, главный</w:t>
      </w:r>
      <w:r>
        <w:rPr>
          <w:sz w:val="18"/>
          <w:szCs w:val="18"/>
        </w:rPr>
        <w:tab/>
      </w:r>
      <w:r>
        <w:rPr>
          <w:sz w:val="18"/>
          <w:szCs w:val="18"/>
        </w:rPr>
        <w:tab/>
      </w:r>
      <w:r>
        <w:rPr>
          <w:sz w:val="18"/>
          <w:szCs w:val="18"/>
        </w:rPr>
        <w:tab/>
      </w:r>
      <w:r>
        <w:rPr>
          <w:sz w:val="18"/>
          <w:szCs w:val="18"/>
        </w:rPr>
        <w:tab/>
      </w:r>
      <w:r>
        <w:rPr>
          <w:sz w:val="18"/>
          <w:szCs w:val="18"/>
        </w:rPr>
        <w:tab/>
        <w:t xml:space="preserve">                                   по ОКПО</w:t>
      </w:r>
      <w:r>
        <w:rPr>
          <w:sz w:val="18"/>
          <w:szCs w:val="18"/>
        </w:rPr>
      </w:r>
      <w:r>
        <w:rPr>
          <w:sz w:val="18"/>
          <w:szCs w:val="18"/>
        </w:rPr>
      </w:r>
    </w:p>
    <w:p>
      <w:pPr>
        <w:spacing w:after="0" w:line="240" w:lineRule="auto"/>
        <w:rPr>
          <w:sz w:val="18"/>
          <w:szCs w:val="18"/>
        </w:rPr>
      </w:pPr>
      <w:r>
        <w:rPr>
          <w:sz w:val="18"/>
          <w:szCs w:val="18"/>
        </w:rPr>
        <w:t xml:space="preserve">администратор источников</w:t>
      </w:r>
      <w:r>
        <w:rPr>
          <w:sz w:val="18"/>
          <w:szCs w:val="18"/>
        </w:rPr>
        <w:tab/>
      </w:r>
      <w:r>
        <w:rPr>
          <w:sz w:val="18"/>
          <w:szCs w:val="18"/>
        </w:rPr>
        <w:tab/>
      </w:r>
      <w:r>
        <w:rPr>
          <w:sz w:val="18"/>
          <w:szCs w:val="18"/>
        </w:rPr>
        <w:tab/>
      </w:r>
      <w:r>
        <w:rPr>
          <w:sz w:val="18"/>
          <w:szCs w:val="18"/>
        </w:rPr>
        <w:tab/>
      </w:r>
      <w:r>
        <w:rPr>
          <w:sz w:val="18"/>
          <w:szCs w:val="18"/>
        </w:rPr>
        <w:tab/>
        <w:t xml:space="preserve">                                    </w:t>
      </w:r>
      <w:r>
        <w:rPr>
          <w:sz w:val="18"/>
          <w:szCs w:val="18"/>
        </w:rPr>
      </w:r>
      <w:r>
        <w:rPr>
          <w:sz w:val="18"/>
          <w:szCs w:val="18"/>
        </w:rPr>
      </w:r>
    </w:p>
    <w:p>
      <w:pPr>
        <w:spacing w:after="0" w:line="240" w:lineRule="auto"/>
      </w:pPr>
      <w:r>
        <w:rPr>
          <w:sz w:val="18"/>
          <w:szCs w:val="18"/>
        </w:rPr>
        <w:t xml:space="preserve">финансирования дефицита бюджета</w:t>
      </w:r>
      <w:r>
        <w:tab/>
        <w:t xml:space="preserve">    </w:t>
      </w:r>
      <w:r>
        <w:rPr>
          <w:u w:val="single"/>
        </w:rPr>
        <w:t xml:space="preserve">Департамент</w:t>
      </w:r>
      <w:r>
        <w:rPr>
          <w:u w:val="single"/>
        </w:rPr>
        <w:tab/>
      </w:r>
      <w:r>
        <w:rPr>
          <w:u w:val="single"/>
        </w:rPr>
        <w:tab/>
      </w:r>
      <w:r>
        <w:t xml:space="preserve">           </w:t>
      </w:r>
      <w:r/>
    </w:p>
    <w:p>
      <w:pPr>
        <w:spacing w:after="0" w:line="240" w:lineRule="auto"/>
      </w:pPr>
      <w:r>
        <w:tab/>
      </w:r>
      <w:r>
        <w:tab/>
      </w:r>
      <w:r>
        <w:tab/>
      </w:r>
      <w:r>
        <w:tab/>
        <w:t xml:space="preserve">    о</w:t>
      </w:r>
      <w:r>
        <w:rPr>
          <w:u w:val="single"/>
        </w:rPr>
        <w:t xml:space="preserve">бразования Томской области</w:t>
      </w:r>
      <w:r>
        <w:rPr>
          <w:u w:val="single"/>
        </w:rPr>
        <w:tab/>
      </w:r>
      <w:r>
        <w:tab/>
      </w:r>
      <w:r>
        <w:rPr>
          <w:sz w:val="18"/>
          <w:szCs w:val="18"/>
        </w:rPr>
        <w:t xml:space="preserve">Глава по БК</w:t>
      </w:r>
      <w:r/>
    </w:p>
    <w:p>
      <w:pPr>
        <w:spacing w:after="0" w:line="240" w:lineRule="auto"/>
        <w:rPr>
          <w:sz w:val="18"/>
          <w:szCs w:val="18"/>
        </w:rPr>
      </w:pPr>
      <w:r>
        <w:rPr>
          <w:sz w:val="18"/>
          <w:szCs w:val="18"/>
        </w:rPr>
        <w:t xml:space="preserve">Наименование бюджета</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Pr>
          <w:sz w:val="18"/>
          <w:szCs w:val="18"/>
        </w:rPr>
      </w:r>
      <w:r>
        <w:rPr>
          <w:sz w:val="18"/>
          <w:szCs w:val="18"/>
        </w:rPr>
      </w:r>
    </w:p>
    <w:p>
      <w:pPr>
        <w:spacing w:after="0" w:line="240" w:lineRule="auto"/>
        <w:rPr>
          <w:u w:val="single"/>
        </w:rPr>
      </w:pPr>
      <w:r>
        <w:rPr>
          <w:sz w:val="18"/>
          <w:szCs w:val="18"/>
        </w:rPr>
        <w:t xml:space="preserve">(публично-правового образования)</w:t>
      </w:r>
      <w:r>
        <w:rPr>
          <w:sz w:val="18"/>
          <w:szCs w:val="18"/>
        </w:rPr>
        <w:tab/>
        <w:t xml:space="preserve">     </w:t>
      </w:r>
      <w:r>
        <w:rPr>
          <w:u w:val="single"/>
        </w:rPr>
        <w:t xml:space="preserve">Бюджет субъекта области</w:t>
      </w:r>
      <w:r>
        <w:rPr>
          <w:u w:val="single"/>
        </w:rPr>
        <w:tab/>
      </w:r>
      <w:r>
        <w:rPr>
          <w:u w:val="single"/>
        </w:rPr>
        <w:tab/>
      </w:r>
      <w:r>
        <w:t xml:space="preserve">               </w:t>
      </w:r>
      <w:r>
        <w:rPr>
          <w:sz w:val="18"/>
          <w:szCs w:val="18"/>
        </w:rPr>
        <w:t xml:space="preserve">по ОКАТО</w:t>
      </w:r>
      <w:r>
        <w:rPr>
          <w:u w:val="single"/>
        </w:rPr>
      </w:r>
      <w:r>
        <w:rPr>
          <w:u w:val="single"/>
        </w:rPr>
      </w:r>
    </w:p>
    <w:p>
      <w:pPr>
        <w:spacing w:after="0" w:line="240" w:lineRule="auto"/>
        <w:rPr>
          <w:sz w:val="18"/>
          <w:szCs w:val="18"/>
          <w:u w:val="single"/>
        </w:rPr>
      </w:pPr>
      <w:r>
        <w:rPr>
          <w:sz w:val="18"/>
          <w:szCs w:val="18"/>
        </w:rPr>
        <w:t xml:space="preserve">Периодичность</w:t>
      </w:r>
      <w:r>
        <w:rPr>
          <w:sz w:val="18"/>
          <w:szCs w:val="18"/>
        </w:rPr>
        <w:tab/>
      </w:r>
      <w:r>
        <w:rPr>
          <w:sz w:val="18"/>
          <w:szCs w:val="18"/>
        </w:rPr>
        <w:tab/>
      </w:r>
      <w:r>
        <w:rPr>
          <w:sz w:val="18"/>
          <w:szCs w:val="18"/>
        </w:rPr>
        <w:tab/>
        <w:t xml:space="preserve">     </w:t>
      </w:r>
      <w:r>
        <w:rPr>
          <w:u w:val="single"/>
        </w:rPr>
        <w:t xml:space="preserve">квартальная, годовая</w:t>
      </w:r>
      <w:r>
        <w:rPr>
          <w:sz w:val="18"/>
          <w:szCs w:val="18"/>
          <w:u w:val="single"/>
        </w:rPr>
        <w:tab/>
      </w:r>
      <w:r>
        <w:rPr>
          <w:sz w:val="18"/>
          <w:szCs w:val="18"/>
          <w:u w:val="single"/>
        </w:rPr>
        <w:tab/>
      </w:r>
      <w:r>
        <w:rPr>
          <w:sz w:val="18"/>
          <w:szCs w:val="18"/>
          <w:u w:val="single"/>
        </w:rPr>
      </w:r>
      <w:r>
        <w:rPr>
          <w:sz w:val="18"/>
          <w:szCs w:val="18"/>
          <w:u w:val="single"/>
        </w:rPr>
      </w:r>
    </w:p>
    <w:p>
      <w:pPr>
        <w:spacing w:after="0" w:line="240" w:lineRule="auto"/>
        <w:rPr>
          <w:sz w:val="18"/>
          <w:szCs w:val="18"/>
        </w:rPr>
      </w:pPr>
      <w:r>
        <w:rPr>
          <w:sz w:val="18"/>
          <w:szCs w:val="18"/>
        </w:rPr>
        <w:t xml:space="preserve">Единица измерения:</w:t>
      </w:r>
      <w:r>
        <w:rPr>
          <w:sz w:val="18"/>
          <w:szCs w:val="18"/>
        </w:rPr>
        <w:tab/>
      </w:r>
      <w:r>
        <w:rPr>
          <w:sz w:val="18"/>
          <w:szCs w:val="18"/>
        </w:rPr>
        <w:tab/>
        <w:t xml:space="preserve">     </w:t>
      </w:r>
      <w:r>
        <w:rPr>
          <w:u w:val="single"/>
        </w:rPr>
        <w:t xml:space="preserve">руб.</w:t>
      </w:r>
      <w:r>
        <w:rPr>
          <w:u w:val="single"/>
        </w:rPr>
        <w:tab/>
      </w:r>
      <w:r>
        <w:rPr>
          <w:u w:val="single"/>
        </w:rPr>
        <w:tab/>
      </w:r>
      <w:r>
        <w:rPr>
          <w:u w:val="single"/>
        </w:rPr>
        <w:tab/>
      </w:r>
      <w:r>
        <w:rPr>
          <w:u w:val="single"/>
        </w:rPr>
        <w:tab/>
      </w:r>
      <w:r>
        <w:rPr>
          <w:u w:val="single"/>
        </w:rPr>
        <w:tab/>
      </w:r>
      <w:r>
        <w:t xml:space="preserve">                 </w:t>
      </w:r>
      <w:r>
        <w:rPr>
          <w:sz w:val="18"/>
          <w:szCs w:val="18"/>
        </w:rPr>
        <w:t xml:space="preserve">по ОКЕИ</w:t>
      </w:r>
      <w:r>
        <w:rPr>
          <w:sz w:val="18"/>
          <w:szCs w:val="18"/>
        </w:rPr>
        <w:br w:type="textWrapping" w:clear="all"/>
      </w:r>
      <w:r>
        <w:rPr>
          <w:sz w:val="18"/>
          <w:szCs w:val="18"/>
        </w:rPr>
      </w:r>
      <w:r>
        <w:rPr>
          <w:sz w:val="18"/>
          <w:szCs w:val="18"/>
        </w:rPr>
      </w:r>
    </w:p>
    <w:p>
      <w:pPr>
        <w:rPr>
          <w:sz w:val="18"/>
          <w:szCs w:val="18"/>
        </w:rPr>
      </w:pPr>
      <w:r>
        <w:rPr>
          <w:sz w:val="18"/>
          <w:szCs w:val="18"/>
        </w:rPr>
      </w:r>
      <w:r>
        <w:rPr>
          <w:sz w:val="18"/>
          <w:szCs w:val="18"/>
        </w:rPr>
      </w:r>
      <w:r>
        <w:rPr>
          <w:sz w:val="18"/>
          <w:szCs w:val="18"/>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Настоящая бюджетная отчетность сформирована в соответствии с положениями </w:t>
      </w:r>
      <w:r>
        <w:rPr>
          <w:rFonts w:ascii="PT Astra Serif" w:hAnsi="PT Astra Serif" w:eastAsia="PT Astra Serif" w:cs="PT Astra Serif"/>
          <w:sz w:val="24"/>
          <w:szCs w:val="24"/>
          <w:lang w:eastAsia="ru-RU"/>
        </w:rPr>
        <w:t xml:space="preserve">приказа Минфина России</w:t>
      </w:r>
      <w:r>
        <w:rPr>
          <w:rFonts w:ascii="PT Astra Serif" w:hAnsi="PT Astra Serif" w:eastAsia="PT Astra Serif" w:cs="PT Astra Serif"/>
          <w:color w:val="000000"/>
          <w:sz w:val="24"/>
          <w:szCs w:val="24"/>
          <w:lang w:eastAsia="ru-RU"/>
        </w:rPr>
        <w:t xml:space="preserve">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rFonts w:ascii="PT Astra Serif" w:hAnsi="PT Astra Serif" w:eastAsia="PT Astra Serif" w:cs="PT Astra Serif"/>
          <w:sz w:val="24"/>
          <w:szCs w:val="24"/>
          <w:lang w:eastAsia="ru-RU"/>
        </w:rPr>
        <w:t xml:space="preserve"> (далее – Инструкция 191н) с учетом системных писем Минфина России № 02-06-06/120378 и Федерального казначейства России № 07-04-05/02-35262 от 29.11.2024</w:t>
      </w:r>
      <w:r>
        <w:rPr>
          <w:rFonts w:ascii="PT Astra Serif" w:hAnsi="PT Astra Serif" w:eastAsia="PT Astra Serif" w:cs="PT Astra Serif"/>
          <w:sz w:val="24"/>
          <w:szCs w:val="24"/>
          <w:highlight w:val="none"/>
          <w:lang w:eastAsia="ru-RU"/>
        </w:rPr>
        <w:t xml:space="preserve">, от 23.01.2026 № 02-07-08/4300/07-04-05/02-1416 «О дополнительных критериях по раскрытию инфо</w:t>
      </w:r>
      <w:r>
        <w:rPr>
          <w:rFonts w:ascii="PT Astra Serif" w:hAnsi="PT Astra Serif" w:eastAsia="PT Astra Serif" w:cs="PT Astra Serif"/>
          <w:sz w:val="24"/>
          <w:szCs w:val="24"/>
          <w:highlight w:val="none"/>
          <w:lang w:eastAsia="ru-RU"/>
        </w:rPr>
        <w:t xml:space="preserve">рмации при составлении и представлении годовой консолидированной бюджетной отчетности,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2025 год».</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0"/>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ab/>
        <w:t xml:space="preserve">Сроки и порядок представления отчетности регламентированы приказом Департамента финансов Томской области от 26.12.2022 № 37 «Об утверждении Порядка составления и представления в Де</w:t>
      </w:r>
      <w:r>
        <w:rPr>
          <w:rFonts w:ascii="PT Astra Serif" w:hAnsi="PT Astra Serif" w:eastAsia="PT Astra Serif" w:cs="PT Astra Serif"/>
          <w:sz w:val="24"/>
          <w:szCs w:val="24"/>
          <w:highlight w:val="none"/>
          <w:lang w:eastAsia="ru-RU"/>
        </w:rPr>
        <w:t xml:space="preserve">партамент финансов Томской области бюджетной отчетности главными распорядителями средств областного бюджета, главными администраторами доходов областного бюджета, главными администраторами источников внутреннего финансирования дефицита областного бюджета».</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lang w:eastAsia="ru-RU"/>
        </w:rPr>
        <w:t xml:space="preserve">Составление и представление отчетности осуществляется структурным подразделением Департамента - отделом бухгалтерского учета и отчетности.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bCs/>
          <w:sz w:val="24"/>
          <w:szCs w:val="24"/>
        </w:rPr>
      </w:pPr>
      <w:r>
        <w:rPr>
          <w:rFonts w:ascii="PT Astra Serif" w:hAnsi="PT Astra Serif" w:eastAsia="PT Astra Serif" w:cs="PT Astra Serif"/>
          <w:sz w:val="24"/>
          <w:szCs w:val="24"/>
          <w:lang w:eastAsia="ru-RU"/>
        </w:rPr>
        <w:t xml:space="preserve">Бюджетный учет в</w:t>
      </w:r>
      <w:r>
        <w:rPr>
          <w:rFonts w:ascii="PT Astra Serif" w:hAnsi="PT Astra Serif" w:eastAsia="PT Astra Serif" w:cs="PT Astra Serif"/>
          <w:sz w:val="24"/>
          <w:szCs w:val="24"/>
          <w:lang w:eastAsia="ru-RU"/>
        </w:rPr>
        <w:t xml:space="preserve">едется Департаментом в соответствии с требованиями приказа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w:t>
      </w:r>
      <w:r>
        <w:rPr>
          <w:rFonts w:ascii="PT Astra Serif" w:hAnsi="PT Astra Serif" w:eastAsia="PT Astra Serif" w:cs="PT Astra Serif"/>
          <w:sz w:val="24"/>
          <w:szCs w:val="24"/>
          <w:lang w:eastAsia="ru-RU"/>
        </w:rPr>
        <w:t xml:space="preserve">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06.12.2010 № 162н «Об ут</w:t>
      </w:r>
      <w:r>
        <w:rPr>
          <w:rFonts w:ascii="PT Astra Serif" w:hAnsi="PT Astra Serif" w:eastAsia="PT Astra Serif" w:cs="PT Astra Serif"/>
          <w:sz w:val="24"/>
          <w:szCs w:val="24"/>
          <w:lang w:eastAsia="ru-RU"/>
        </w:rPr>
        <w:t xml:space="preserve">верждении Плана счетов</w:t>
      </w:r>
      <w:r>
        <w:rPr>
          <w:rFonts w:ascii="PT Astra Serif" w:hAnsi="PT Astra Serif" w:eastAsia="PT Astra Serif" w:cs="PT Astra Serif"/>
          <w:sz w:val="24"/>
          <w:szCs w:val="24"/>
          <w:lang w:eastAsia="ru-RU"/>
        </w:rPr>
        <w:t xml:space="preserve"> бюджетного учета и Инструкции по его применению», федеральными стандартами бухгалтерского учета организаций государственного сектора и иными действующими нормативными правовыми актами Российской Федерации, в том числе разъясняющими письмами Минфина России</w:t>
      </w:r>
      <w:r>
        <w:rPr>
          <w:rFonts w:ascii="PT Astra Serif" w:hAnsi="PT Astra Serif" w:eastAsia="PT Astra Serif" w:cs="PT Astra Serif"/>
          <w:bCs/>
          <w:sz w:val="24"/>
          <w:szCs w:val="24"/>
          <w:lang w:eastAsia="ru-RU"/>
        </w:rPr>
        <w:t xml:space="preserve">.</w:t>
      </w:r>
      <w:r>
        <w:rPr>
          <w:rFonts w:ascii="PT Astra Serif" w:hAnsi="PT Astra Serif" w:cs="PT Astra Serif"/>
          <w:bCs/>
          <w:sz w:val="24"/>
          <w:szCs w:val="24"/>
        </w:rPr>
      </w:r>
      <w:r>
        <w:rPr>
          <w:rFonts w:ascii="PT Astra Serif" w:hAnsi="PT Astra Serif" w:cs="PT Astra Serif"/>
          <w:bCs/>
          <w:sz w:val="24"/>
          <w:szCs w:val="24"/>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lang w:eastAsia="ru-RU"/>
        </w:rPr>
        <w:t xml:space="preserve">Бюджетный учет ведется Департаментом по средствам модуля программного продукта «Барс. </w:t>
      </w:r>
      <w:r>
        <w:rPr>
          <w:rFonts w:ascii="PT Astra Serif" w:hAnsi="PT Astra Serif" w:eastAsia="PT Astra Serif" w:cs="PT Astra Serif"/>
          <w:sz w:val="24"/>
          <w:szCs w:val="24"/>
          <w:lang w:val="en-US" w:eastAsia="ru-RU"/>
        </w:rPr>
        <w:t xml:space="preserve">Web</w:t>
      </w:r>
      <w:r>
        <w:rPr>
          <w:rFonts w:ascii="PT Astra Serif" w:hAnsi="PT Astra Serif" w:eastAsia="PT Astra Serif" w:cs="PT Astra Serif"/>
          <w:sz w:val="24"/>
          <w:szCs w:val="24"/>
          <w:lang w:eastAsia="ru-RU"/>
        </w:rPr>
        <w:t xml:space="preserve">-бухгалтерия» и представляется </w:t>
      </w:r>
      <w:r>
        <w:rPr>
          <w:rFonts w:ascii="PT Astra Serif" w:hAnsi="PT Astra Serif" w:eastAsia="PT Astra Serif" w:cs="PT Astra Serif"/>
          <w:sz w:val="24"/>
          <w:szCs w:val="24"/>
          <w:lang w:eastAsia="ru-RU"/>
        </w:rPr>
        <w:t xml:space="preserve">в Департамент финансов Томской области по средствам модуля программного продукта «Барс. </w:t>
      </w:r>
      <w:r>
        <w:rPr>
          <w:rFonts w:ascii="PT Astra Serif" w:hAnsi="PT Astra Serif" w:eastAsia="PT Astra Serif" w:cs="PT Astra Serif"/>
          <w:sz w:val="24"/>
          <w:szCs w:val="24"/>
          <w:lang w:val="en-US" w:eastAsia="ru-RU"/>
        </w:rPr>
        <w:t xml:space="preserve">Web</w:t>
      </w:r>
      <w:r>
        <w:rPr>
          <w:rFonts w:ascii="PT Astra Serif" w:hAnsi="PT Astra Serif" w:eastAsia="PT Astra Serif" w:cs="PT Astra Serif"/>
          <w:sz w:val="24"/>
          <w:szCs w:val="24"/>
          <w:lang w:eastAsia="ru-RU"/>
        </w:rPr>
        <w:t xml:space="preserve"> – бюджетная отчетность».</w:t>
      </w:r>
      <w:r>
        <w:rPr>
          <w:rFonts w:ascii="PT Astra Serif" w:hAnsi="PT Astra Serif" w:cs="PT Astra Serif"/>
          <w:sz w:val="24"/>
          <w:szCs w:val="24"/>
          <w:highlight w:val="none"/>
        </w:rPr>
      </w:r>
      <w:r>
        <w:rPr>
          <w:rFonts w:ascii="PT Astra Serif" w:hAnsi="PT Astra Serif" w:cs="PT Astra Serif"/>
          <w:sz w:val="24"/>
          <w:szCs w:val="24"/>
          <w:highlight w:val="none"/>
        </w:rPr>
      </w:r>
    </w:p>
    <w:p>
      <w:pPr>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708"/>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r>
      <w:r>
        <w:rPr>
          <w:rFonts w:ascii="PT Astra Serif" w:hAnsi="PT Astra Serif" w:eastAsia="PT Astra Serif" w:cs="PT Astra Serif"/>
          <w:b/>
          <w:bCs/>
          <w:sz w:val="24"/>
          <w:szCs w:val="24"/>
          <w:highlight w:val="none"/>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администратора доходов бюджета (ф.0503130)</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Баланс (ф.0503130) формируется согласно положениям пункта 12 Инструкции 191н и отраж</w:t>
      </w:r>
      <w:r>
        <w:rPr>
          <w:rFonts w:ascii="PT Astra Serif" w:hAnsi="PT Astra Serif" w:eastAsia="PT Astra Serif" w:cs="PT Astra Serif"/>
          <w:b w:val="0"/>
          <w:bCs w:val="0"/>
          <w:sz w:val="24"/>
          <w:szCs w:val="24"/>
          <w:highlight w:val="none"/>
        </w:rPr>
        <w:t xml:space="preserve">ает информацию по активам и обязательствам и финансовом результате Департамента в разрезе бюджетной деятельности (графы 3,6), средств во временном распоряжении (графы 4,7) и итоговых показателях (графы 3,4,5) на начало отчетного периода и графы (6,7,8) на </w:t>
      </w:r>
      <w:r>
        <w:rPr>
          <w:rFonts w:ascii="PT Astra Serif" w:hAnsi="PT Astra Serif" w:eastAsia="PT Astra Serif" w:cs="PT Astra Serif"/>
          <w:b w:val="0"/>
          <w:bCs w:val="0"/>
          <w:sz w:val="24"/>
          <w:szCs w:val="24"/>
          <w:highlight w:val="none"/>
        </w:rPr>
        <w:t xml:space="preserve">конец отчетного периода.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Информация об активах, обязательствах и о финансовом результате Департамента раскрыта в разрезе итоговых показателей </w:t>
      </w:r>
      <w:r>
        <w:rPr>
          <w:rFonts w:ascii="PT Astra Serif" w:hAnsi="PT Astra Serif" w:eastAsia="PT Astra Serif" w:cs="PT Astra Serif"/>
          <w:color w:val="000000"/>
          <w:sz w:val="24"/>
          <w:szCs w:val="24"/>
          <w:highlight w:val="none"/>
        </w:rPr>
        <w:t xml:space="preserve">на начало года </w:t>
      </w:r>
      <w:r>
        <w:rPr>
          <w:rFonts w:ascii="PT Astra Serif" w:hAnsi="PT Astra Serif" w:eastAsia="PT Astra Serif" w:cs="PT Astra Serif"/>
          <w:color w:val="000000" w:themeColor="text1"/>
          <w:sz w:val="24"/>
          <w:szCs w:val="24"/>
          <w:highlight w:val="none"/>
        </w:rPr>
        <w:t xml:space="preserve">(</w:t>
      </w:r>
      <w:r>
        <w:rPr>
          <w:rFonts w:ascii="PT Astra Serif" w:hAnsi="PT Astra Serif" w:eastAsia="PT Astra Serif" w:cs="PT Astra Serif"/>
          <w:color w:val="000000" w:themeColor="text1"/>
          <w:sz w:val="24"/>
          <w:szCs w:val="24"/>
          <w:highlight w:val="none"/>
          <w:u w:val="none"/>
        </w:rPr>
        <w:t xml:space="preserve">графы 3</w:t>
      </w:r>
      <w:r>
        <w:rPr>
          <w:rFonts w:ascii="PT Astra Serif" w:hAnsi="PT Astra Serif" w:eastAsia="PT Astra Serif" w:cs="PT Astra Serif"/>
          <w:color w:val="000000" w:themeColor="text1"/>
          <w:sz w:val="24"/>
          <w:szCs w:val="24"/>
          <w:highlight w:val="none"/>
        </w:rPr>
        <w:t xml:space="preserve">, </w:t>
      </w:r>
      <w:r>
        <w:rPr>
          <w:rFonts w:ascii="PT Astra Serif" w:hAnsi="PT Astra Serif" w:eastAsia="PT Astra Serif" w:cs="PT Astra Serif"/>
          <w:color w:val="000000" w:themeColor="text1"/>
          <w:sz w:val="24"/>
          <w:szCs w:val="24"/>
          <w:highlight w:val="none"/>
          <w:u w:val="none"/>
        </w:rPr>
        <w:t xml:space="preserve">4</w:t>
      </w:r>
      <w:r>
        <w:rPr>
          <w:rFonts w:ascii="PT Astra Serif" w:hAnsi="PT Astra Serif" w:eastAsia="PT Astra Serif" w:cs="PT Astra Serif"/>
          <w:color w:val="000000" w:themeColor="text1"/>
          <w:sz w:val="24"/>
          <w:szCs w:val="24"/>
          <w:highlight w:val="none"/>
        </w:rPr>
        <w:t xml:space="preserve">, </w:t>
      </w:r>
      <w:r>
        <w:rPr>
          <w:rFonts w:ascii="PT Astra Serif" w:hAnsi="PT Astra Serif" w:eastAsia="PT Astra Serif" w:cs="PT Astra Serif"/>
          <w:color w:val="000000" w:themeColor="text1"/>
          <w:sz w:val="24"/>
          <w:szCs w:val="24"/>
          <w:highlight w:val="none"/>
          <w:u w:val="none"/>
        </w:rPr>
        <w:t xml:space="preserve">5</w:t>
      </w:r>
      <w:r>
        <w:rPr>
          <w:rFonts w:ascii="PT Astra Serif" w:hAnsi="PT Astra Serif" w:eastAsia="PT Astra Serif" w:cs="PT Astra Serif"/>
          <w:color w:val="000000" w:themeColor="text1"/>
          <w:sz w:val="24"/>
          <w:szCs w:val="24"/>
          <w:highlight w:val="none"/>
        </w:rPr>
        <w:t xml:space="preserve">) и конец отчетного периода (</w:t>
      </w:r>
      <w:r>
        <w:rPr>
          <w:rFonts w:ascii="PT Astra Serif" w:hAnsi="PT Astra Serif" w:eastAsia="PT Astra Serif" w:cs="PT Astra Serif"/>
          <w:color w:val="000000" w:themeColor="text1"/>
          <w:sz w:val="24"/>
          <w:szCs w:val="24"/>
          <w:highlight w:val="none"/>
          <w:u w:val="none"/>
        </w:rPr>
        <w:t xml:space="preserve">графы 6</w:t>
      </w:r>
      <w:r>
        <w:rPr>
          <w:rFonts w:ascii="PT Astra Serif" w:hAnsi="PT Astra Serif" w:eastAsia="PT Astra Serif" w:cs="PT Astra Serif"/>
          <w:color w:val="000000" w:themeColor="text1"/>
          <w:sz w:val="24"/>
          <w:szCs w:val="24"/>
          <w:highlight w:val="none"/>
        </w:rPr>
        <w:t xml:space="preserve">, </w:t>
      </w:r>
      <w:r>
        <w:rPr>
          <w:rFonts w:ascii="PT Astra Serif" w:hAnsi="PT Astra Serif" w:eastAsia="PT Astra Serif" w:cs="PT Astra Serif"/>
          <w:color w:val="000000" w:themeColor="text1"/>
          <w:sz w:val="24"/>
          <w:szCs w:val="24"/>
          <w:highlight w:val="none"/>
          <w:u w:val="none"/>
        </w:rPr>
        <w:t xml:space="preserve">7</w:t>
      </w:r>
      <w:r>
        <w:rPr>
          <w:rFonts w:ascii="PT Astra Serif" w:hAnsi="PT Astra Serif" w:eastAsia="PT Astra Serif" w:cs="PT Astra Serif"/>
          <w:color w:val="000000" w:themeColor="text1"/>
          <w:sz w:val="24"/>
          <w:szCs w:val="24"/>
          <w:highlight w:val="none"/>
        </w:rPr>
        <w:t xml:space="preserve">, </w:t>
      </w:r>
      <w:r>
        <w:rPr>
          <w:rFonts w:ascii="PT Astra Serif" w:hAnsi="PT Astra Serif" w:eastAsia="PT Astra Serif" w:cs="PT Astra Serif"/>
          <w:color w:val="000000" w:themeColor="text1"/>
          <w:sz w:val="24"/>
          <w:szCs w:val="24"/>
          <w:highlight w:val="none"/>
          <w:u w:val="none"/>
        </w:rPr>
        <w:t xml:space="preserve">8</w:t>
      </w:r>
      <w:r>
        <w:rPr>
          <w:rFonts w:ascii="PT Astra Serif" w:hAnsi="PT Astra Serif" w:eastAsia="PT Astra Serif" w:cs="PT Astra Serif"/>
          <w:color w:val="000000" w:themeColor="text1"/>
          <w:sz w:val="24"/>
          <w:szCs w:val="24"/>
          <w:highlight w:val="none"/>
        </w:rPr>
        <w:t xml:space="preserve">) по соответствующим разделам Баланса (ф. 0503130): «Нефинансовые активы» </w:t>
      </w:r>
      <w:r>
        <w:rPr>
          <w:rFonts w:ascii="PT Astra Serif" w:hAnsi="PT Astra Serif" w:eastAsia="PT Astra Serif" w:cs="PT Astra Serif"/>
          <w:color w:val="000000" w:themeColor="text1"/>
          <w:sz w:val="24"/>
          <w:szCs w:val="24"/>
          <w:highlight w:val="none"/>
          <w:u w:val="none"/>
        </w:rPr>
        <w:t xml:space="preserve">(строка 190)</w:t>
      </w:r>
      <w:r>
        <w:rPr>
          <w:rFonts w:ascii="PT Astra Serif" w:hAnsi="PT Astra Serif" w:eastAsia="PT Astra Serif" w:cs="PT Astra Serif"/>
          <w:color w:val="000000" w:themeColor="text1"/>
          <w:sz w:val="24"/>
          <w:szCs w:val="24"/>
          <w:highlight w:val="none"/>
        </w:rPr>
        <w:t xml:space="preserve">, «Финансовые активы» </w:t>
      </w:r>
      <w:r>
        <w:rPr>
          <w:rFonts w:ascii="PT Astra Serif" w:hAnsi="PT Astra Serif" w:eastAsia="PT Astra Serif" w:cs="PT Astra Serif"/>
          <w:color w:val="000000" w:themeColor="text1"/>
          <w:sz w:val="24"/>
          <w:szCs w:val="24"/>
          <w:highlight w:val="none"/>
          <w:u w:val="none"/>
        </w:rPr>
        <w:t xml:space="preserve">(строка 340)</w:t>
      </w:r>
      <w:r>
        <w:rPr>
          <w:rFonts w:ascii="PT Astra Serif" w:hAnsi="PT Astra Serif" w:eastAsia="PT Astra Serif" w:cs="PT Astra Serif"/>
          <w:color w:val="000000" w:themeColor="text1"/>
          <w:sz w:val="24"/>
          <w:szCs w:val="24"/>
          <w:highlight w:val="none"/>
        </w:rPr>
        <w:t xml:space="preserve">, «Обязательства» </w:t>
      </w:r>
      <w:r>
        <w:rPr>
          <w:rFonts w:ascii="PT Astra Serif" w:hAnsi="PT Astra Serif" w:eastAsia="PT Astra Serif" w:cs="PT Astra Serif"/>
          <w:color w:val="000000" w:themeColor="text1"/>
          <w:sz w:val="24"/>
          <w:szCs w:val="24"/>
          <w:highlight w:val="none"/>
          <w:u w:val="none"/>
        </w:rPr>
        <w:t xml:space="preserve">(строка 550)</w:t>
      </w:r>
      <w:r>
        <w:rPr>
          <w:rFonts w:ascii="PT Astra Serif" w:hAnsi="PT Astra Serif" w:eastAsia="PT Astra Serif" w:cs="PT Astra Serif"/>
          <w:color w:val="000000" w:themeColor="text1"/>
          <w:sz w:val="24"/>
          <w:szCs w:val="24"/>
          <w:highlight w:val="none"/>
        </w:rPr>
        <w:t xml:space="preserve">, «Финансовый результат» </w:t>
      </w:r>
      <w:r>
        <w:rPr>
          <w:rFonts w:ascii="PT Astra Serif" w:hAnsi="PT Astra Serif" w:eastAsia="PT Astra Serif" w:cs="PT Astra Serif"/>
          <w:color w:val="000000" w:themeColor="text1"/>
          <w:sz w:val="24"/>
          <w:szCs w:val="24"/>
          <w:highlight w:val="none"/>
          <w:u w:val="none"/>
        </w:rPr>
        <w:t xml:space="preserve">(строка 570)</w:t>
      </w:r>
      <w:r>
        <w:rPr>
          <w:rFonts w:ascii="PT Astra Serif" w:hAnsi="PT Astra Serif" w:eastAsia="PT Astra Serif" w:cs="PT Astra Serif"/>
          <w:color w:val="000000" w:themeColor="text1"/>
          <w:sz w:val="24"/>
          <w:szCs w:val="24"/>
          <w:highlight w:val="none"/>
        </w:rPr>
        <w:t xml:space="preserve">.</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В </w:t>
      </w:r>
      <w:r>
        <w:rPr>
          <w:rFonts w:ascii="PT Astra Serif" w:hAnsi="PT Astra Serif" w:eastAsia="PT Astra Serif" w:cs="PT Astra Serif"/>
          <w:color w:val="000000" w:themeColor="text1"/>
          <w:sz w:val="24"/>
          <w:szCs w:val="24"/>
          <w:highlight w:val="none"/>
          <w:u w:val="none"/>
        </w:rPr>
        <w:t xml:space="preserve">графах</w:t>
      </w:r>
      <w:r>
        <w:rPr>
          <w:rFonts w:ascii="PT Astra Serif" w:hAnsi="PT Astra Serif" w:eastAsia="PT Astra Serif" w:cs="PT Astra Serif"/>
          <w:color w:val="000000" w:themeColor="text1"/>
          <w:sz w:val="24"/>
          <w:szCs w:val="24"/>
          <w:highlight w:val="none"/>
        </w:rPr>
        <w:t xml:space="preserve"> «На начало года» отражены данные о стоимости активов, обязательств, финансовом результате на начало года (вступительный баланс), которые соответствуют данным </w:t>
      </w:r>
      <w:r>
        <w:rPr>
          <w:rFonts w:ascii="PT Astra Serif" w:hAnsi="PT Astra Serif" w:eastAsia="PT Astra Serif" w:cs="PT Astra Serif"/>
          <w:color w:val="000000" w:themeColor="text1"/>
          <w:sz w:val="24"/>
          <w:szCs w:val="24"/>
          <w:highlight w:val="none"/>
          <w:u w:val="none"/>
        </w:rPr>
        <w:t xml:space="preserve">граф</w:t>
      </w:r>
      <w:r>
        <w:rPr>
          <w:rFonts w:ascii="PT Astra Serif" w:hAnsi="PT Astra Serif" w:eastAsia="PT Astra Serif" w:cs="PT Astra Serif"/>
          <w:color w:val="000000" w:themeColor="text1"/>
          <w:sz w:val="24"/>
          <w:szCs w:val="24"/>
          <w:highlight w:val="none"/>
        </w:rPr>
        <w:t xml:space="preserve"> «На конец отчетного периода» предыдущего года (заключительный баланс) с учетом изменений показателей вступительного баланса, отраженных Департаментом в Сведениях об изменении остатков валюты баланса </w:t>
      </w:r>
      <w:r>
        <w:rPr>
          <w:rFonts w:ascii="PT Astra Serif" w:hAnsi="PT Astra Serif" w:eastAsia="PT Astra Serif" w:cs="PT Astra Serif"/>
          <w:color w:val="000000" w:themeColor="text1"/>
          <w:sz w:val="24"/>
          <w:szCs w:val="24"/>
          <w:highlight w:val="none"/>
          <w:u w:val="none"/>
        </w:rPr>
        <w:t xml:space="preserve">(ф. 0503173)</w:t>
      </w:r>
      <w:r>
        <w:rPr>
          <w:rFonts w:ascii="PT Astra Serif" w:hAnsi="PT Astra Serif" w:eastAsia="PT Astra Serif" w:cs="PT Astra Serif"/>
          <w:color w:val="000000" w:themeColor="text1"/>
          <w:sz w:val="24"/>
          <w:szCs w:val="24"/>
          <w:highlight w:val="none"/>
        </w:rPr>
        <w:t xml:space="preserve">.</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Причины изменений показателей вступительного баланса изложены в комментариях к заполнению Сведений об изменении остатков валюты баланса (ф.0503173) настоящей пояснительной записки.</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В </w:t>
      </w:r>
      <w:r>
        <w:rPr>
          <w:rFonts w:ascii="PT Astra Serif" w:hAnsi="PT Astra Serif" w:eastAsia="PT Astra Serif" w:cs="PT Astra Serif"/>
          <w:color w:val="000000" w:themeColor="text1"/>
          <w:sz w:val="24"/>
          <w:szCs w:val="24"/>
          <w:highlight w:val="none"/>
          <w:u w:val="none"/>
        </w:rPr>
        <w:t xml:space="preserve">графах</w:t>
      </w:r>
      <w:r>
        <w:rPr>
          <w:rFonts w:ascii="PT Astra Serif" w:hAnsi="PT Astra Serif" w:eastAsia="PT Astra Serif" w:cs="PT Astra Serif"/>
          <w:color w:val="000000" w:themeColor="text1"/>
          <w:sz w:val="24"/>
          <w:szCs w:val="24"/>
          <w:highlight w:val="none"/>
        </w:rPr>
        <w:t xml:space="preserve"> «На конец отчетн</w:t>
      </w:r>
      <w:r>
        <w:rPr>
          <w:rFonts w:ascii="PT Astra Serif" w:hAnsi="PT Astra Serif" w:eastAsia="PT Astra Serif" w:cs="PT Astra Serif"/>
          <w:color w:val="000000"/>
          <w:sz w:val="24"/>
          <w:szCs w:val="24"/>
          <w:highlight w:val="none"/>
        </w:rPr>
        <w:t xml:space="preserve">ого периода» Департаментом отражены данные о стоимости активов и обязательств, финансовом результате на 1 января года, следующего за отчетным, с учетом проведенных 31 декабря при завершении финансового года заключительных оборотов по счетам бюджетно</w:t>
      </w:r>
      <w:r>
        <w:rPr>
          <w:rFonts w:ascii="PT Astra Serif" w:hAnsi="PT Astra Serif" w:eastAsia="PT Astra Serif" w:cs="PT Astra Serif"/>
          <w:color w:val="000000"/>
          <w:sz w:val="24"/>
          <w:szCs w:val="24"/>
          <w:highlight w:val="none"/>
        </w:rPr>
        <w:t xml:space="preserve">го учета.</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Причины остатка обязательств (задолженности) по балансовым счетам на конец отчетного периода изложены в комментариях к заполнению Сведений по дебиторской и кредиторской задолженности (ф.0503169) настоящей пояснительной записки.</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0"/>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ab/>
      </w:r>
      <w:r>
        <w:rPr>
          <w:rFonts w:ascii="PT Astra Serif" w:hAnsi="PT Astra Serif" w:eastAsia="PT Astra Serif" w:cs="PT Astra Serif"/>
          <w:color w:val="000000" w:themeColor="text1"/>
          <w:sz w:val="24"/>
          <w:szCs w:val="24"/>
          <w:highlight w:val="none"/>
        </w:rPr>
        <w:t xml:space="preserve">По строке 010 Баланса (ф.0503130) отражена</w:t>
      </w:r>
      <w:r>
        <w:rPr>
          <w:rFonts w:ascii="PT Astra Serif" w:hAnsi="PT Astra Serif" w:eastAsia="PT Astra Serif" w:cs="PT Astra Serif"/>
          <w:color w:val="000000" w:themeColor="text1"/>
          <w:sz w:val="24"/>
          <w:szCs w:val="24"/>
          <w:highlight w:val="none"/>
        </w:rPr>
        <w:t xml:space="preserve"> информация о балансовой стоимости основных средств Департамента. По итогам отчетного периода увеличение балансовой стоимости основных средств Департамента составило 4 789 325,24 руб. (получено безвозмездно имущество, приобретены объекты основных средств).</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 строке 020 (в том числе по строке 020) Баланса (ф.0503130) отражена информация о начисленной сумме амортизации. За отчетный период сумма начисленной амортизации составила 4 013 816,71 руб.</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 строке 030 Баланса (ф.0503130) отражена стоимость непроизведенных активов (земельного участка) Департамента. Стоимость земельного участка за отчетный период без изменений.</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Показатели о стоимости нефинансовых активов в разрезе счетов бюджетного и забалансового учета отражены в Сведениях (ф.0503168) настоящей бюджетной отчетности.</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 строке 100 Баланса (ф.0503130) отражена информация по остаточной стоимости прав пользования (разница между суммой счетов 1.111.42.000, 1.111.6</w:t>
      </w:r>
      <w:r>
        <w:rPr>
          <w:rFonts w:ascii="PT Astra Serif" w:hAnsi="PT Astra Serif" w:eastAsia="PT Astra Serif" w:cs="PT Astra Serif"/>
          <w:color w:val="000000" w:themeColor="text1"/>
          <w:sz w:val="24"/>
          <w:szCs w:val="24"/>
          <w:highlight w:val="none"/>
          <w:lang w:val="en-US"/>
        </w:rPr>
        <w:t xml:space="preserve">I</w:t>
      </w:r>
      <w:r>
        <w:rPr>
          <w:rFonts w:ascii="PT Astra Serif" w:hAnsi="PT Astra Serif" w:eastAsia="PT Astra Serif" w:cs="PT Astra Serif"/>
          <w:color w:val="000000" w:themeColor="text1"/>
          <w:sz w:val="24"/>
          <w:szCs w:val="24"/>
          <w:highlight w:val="none"/>
          <w:lang w:val="ru-RU"/>
        </w:rPr>
        <w:t xml:space="preserve">.000, 1.111.49.000 и 1.104.42.000, 1.104.49.000, 1.104.6</w:t>
      </w:r>
      <w:r>
        <w:rPr>
          <w:rFonts w:ascii="PT Astra Serif" w:hAnsi="PT Astra Serif" w:eastAsia="PT Astra Serif" w:cs="PT Astra Serif"/>
          <w:color w:val="000000" w:themeColor="text1"/>
          <w:sz w:val="24"/>
          <w:szCs w:val="24"/>
          <w:highlight w:val="none"/>
          <w:lang w:val="en-US"/>
        </w:rPr>
        <w:t xml:space="preserve">I</w:t>
      </w:r>
      <w:r>
        <w:rPr>
          <w:rFonts w:ascii="PT Astra Serif" w:hAnsi="PT Astra Serif" w:eastAsia="PT Astra Serif" w:cs="PT Astra Serif"/>
          <w:color w:val="000000" w:themeColor="text1"/>
          <w:sz w:val="24"/>
          <w:szCs w:val="24"/>
          <w:highlight w:val="none"/>
          <w:lang w:val="ru-RU"/>
        </w:rPr>
        <w:t xml:space="preserve">.000). Изменение (уменьшение) показателей по завершению отчетного финансового периода составило 722 857,10 руб.</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0"/>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ab/>
        <w:t xml:space="preserve">По строке 160 изменение входящего сальдо на сумму - 722,06 руб. (исправление ошибок прошлых лет). Показатель отражен в Сведениях (ф.0503173). Причины исправления входящего остатка отражены в разделе Сведений (ф.0503173) настоящей пояснительной записки.</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 строке 201 Баланса (ф.0503130) отражена сумма остатка средств во временном распоряжении на лиц</w:t>
      </w:r>
      <w:r>
        <w:rPr>
          <w:rFonts w:ascii="PT Astra Serif" w:hAnsi="PT Astra Serif" w:eastAsia="PT Astra Serif" w:cs="PT Astra Serif"/>
          <w:color w:val="000000" w:themeColor="text1"/>
          <w:sz w:val="24"/>
          <w:szCs w:val="24"/>
          <w:highlight w:val="none"/>
        </w:rPr>
        <w:t xml:space="preserve">евом счете Департамента. Показатель идентичен показателям строки 431 Баланса (ф.0503130), а также отражен в Сведениях (ф.0503178) пояснительной записки настоящей бюджетной отчетности. Возврат средств осуществляется в порядке и сроки договоров (контрактов).</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 строке 207 Баланса (ф.0503130) отражена сумма остатка денежных документов (почтовые марки, маркированные конверты). Переходящий остаток необходим для обеспечения своевременности отправки почтовых сообщений.</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 строке 240 Баланса (ф.0503130) отражен показатель по счету 1.204.33.000 «Участие в </w:t>
      </w:r>
      <w:r>
        <w:rPr>
          <w:rFonts w:ascii="PT Astra Serif" w:hAnsi="PT Astra Serif" w:eastAsia="PT Astra Serif" w:cs="PT Astra Serif"/>
          <w:color w:val="000000" w:themeColor="text1"/>
          <w:sz w:val="24"/>
          <w:szCs w:val="24"/>
          <w:highlight w:val="none"/>
        </w:rPr>
        <w:t xml:space="preserve">государственных (муниципальных) учреждениях». Изменение входящего остатка на сумму 1 502 957 437,92 руб. в связи с реорганизационными мероприятиями, проводимыми по состоянию на 01.01.2025 в связи с изменением подведомственности МАОУ «Интеграция» (изменение</w:t>
      </w:r>
      <w:r>
        <w:rPr>
          <w:rFonts w:ascii="PT Astra Serif" w:hAnsi="PT Astra Serif" w:eastAsia="PT Astra Serif" w:cs="PT Astra Serif"/>
          <w:color w:val="000000" w:themeColor="text1"/>
          <w:sz w:val="24"/>
          <w:szCs w:val="24"/>
          <w:highlight w:val="none"/>
        </w:rPr>
        <w:t xml:space="preserve"> учредителя). Учреждение переведено с муниципального на областной уровень. Информация об изменении входящего сальдо по данной строке отражена в Сведениях (ф.0503173) настоящей бюджетной отчетности, а также в текстовой части настоящей пояснительной записки.</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 строке 250 Баланса (ф.0503130) отражена информация о </w:t>
      </w:r>
      <w:r>
        <w:rPr>
          <w:rFonts w:ascii="PT Astra Serif" w:hAnsi="PT Astra Serif" w:eastAsia="PT Astra Serif" w:cs="PT Astra Serif"/>
          <w:sz w:val="24"/>
          <w:szCs w:val="24"/>
        </w:rPr>
        <w:t xml:space="preserve">суммах дебиторской задолженности по доходам. Изменение показателя (увеличение) составило 219 553 593,67 руб. </w:t>
      </w:r>
      <w:r>
        <w:rPr>
          <w:rFonts w:ascii="PT Astra Serif" w:hAnsi="PT Astra Serif" w:eastAsia="PT Astra Serif" w:cs="PT Astra Serif"/>
          <w:sz w:val="24"/>
          <w:szCs w:val="24"/>
          <w:highlight w:val="none"/>
        </w:rPr>
        <w:t xml:space="preserve">По строке 260 Баланса (ф.0503130) отражена информация о суммах дебиторской задолженности по выплатам. Изменение показателя (увеличение) за отчетный период составило 4 901 249,82 руб. </w:t>
      </w:r>
      <w:r>
        <w:rPr>
          <w:rFonts w:ascii="PT Astra Serif" w:hAnsi="PT Astra Serif" w:eastAsia="PT Astra Serif" w:cs="PT Astra Serif"/>
          <w:sz w:val="24"/>
          <w:szCs w:val="24"/>
        </w:rPr>
        <w:t xml:space="preserve">Более подробная информация о суммах дебиторской задолженности (по доходам и выплатам) изложена в Сведениях (ф.0503169) настоящей бюджетной отчетности. Причины образования дебиторской задолженности изложены в текстовой части настоящей пояснительной записки.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tab/>
      </w:r>
      <w:r>
        <w:rPr>
          <w:rFonts w:ascii="PT Astra Serif" w:hAnsi="PT Astra Serif" w:eastAsia="PT Astra Serif" w:cs="PT Astra Serif"/>
          <w:sz w:val="24"/>
          <w:szCs w:val="24"/>
          <w:highlight w:val="none"/>
        </w:rPr>
        <w:t xml:space="preserve">По строке 410 Баланса (ф.0503130) отражена сумма неисполненных денежных обязательствах принятых Департаментом в отчетном периоде. </w:t>
      </w:r>
      <w:r>
        <w:rPr>
          <w:rFonts w:ascii="PT Astra Serif" w:hAnsi="PT Astra Serif" w:eastAsia="PT Astra Serif" w:cs="PT Astra Serif"/>
          <w:sz w:val="24"/>
          <w:szCs w:val="24"/>
          <w:highlight w:val="none"/>
        </w:rPr>
        <w:t xml:space="preserve">По строке 420 Баланса (ф.0503130) отражена сумма задолженности по возврату Департаментом средств в федеральный бюджет. </w:t>
      </w:r>
      <w:r>
        <w:rPr>
          <w:rFonts w:ascii="PT Astra Serif" w:hAnsi="PT Astra Serif" w:eastAsia="PT Astra Serif" w:cs="PT Astra Serif"/>
          <w:sz w:val="24"/>
          <w:szCs w:val="24"/>
        </w:rPr>
        <w:t xml:space="preserve">Более подробная информация о суммах кредиторской задолженности изложена в Сведениях (ф.0503169) настоящей бюджетной отчетности. Причины образования кредиторской задолженности изложены в текстовой части настоящей пояснительной записки.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tab/>
        <w:t xml:space="preserve">По строке 510 Баланса (ф.0503130) отражен показатель по доходам будущих</w:t>
      </w:r>
      <w:r>
        <w:rPr>
          <w:rFonts w:ascii="PT Astra Serif" w:hAnsi="PT Astra Serif" w:eastAsia="PT Astra Serif" w:cs="PT Astra Serif"/>
          <w:sz w:val="24"/>
          <w:szCs w:val="24"/>
          <w:highlight w:val="none"/>
        </w:rPr>
        <w:t xml:space="preserve"> периодов. Увеличение показателя по итогам завершения отчетного периода составило 350 980 070,51 руб. Информация о наличии показателя на отчетную дату по счету 1.401.4Х.000 отражена в Сведениях (ф.0503169) и текстовой части настоящей пояснительной записки.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tab/>
        <w:t xml:space="preserve">По строке 520 Баланса (ф.0503130) отражены показатели по резервам</w:t>
      </w:r>
      <w:r>
        <w:rPr>
          <w:rFonts w:ascii="PT Astra Serif" w:hAnsi="PT Astra Serif" w:eastAsia="PT Astra Serif" w:cs="PT Astra Serif"/>
          <w:sz w:val="24"/>
          <w:szCs w:val="24"/>
          <w:highlight w:val="none"/>
        </w:rPr>
        <w:t xml:space="preserve"> предстоящих расходов, изменение по которым на отчетную дату (увеличение) составило 2 297 653,81 руб. Информация о наличии показателя на отчетную дату по счету 1.401.60.000 отражена в Сведениях (ф.0503169) и текстовой части настоящей пояснительной записки.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tab/>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708"/>
        <w:jc w:val="both"/>
        <w:spacing w:before="0" w:beforeAutospacing="0" w:after="0" w:line="283" w:lineRule="atLeast"/>
        <w:rPr>
          <w:rFonts w:ascii="PT Astra Serif" w:hAnsi="PT Astra Serif" w:cs="PT Astra Serif"/>
          <w:b/>
          <w:bCs/>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sz w:val="24"/>
          <w:szCs w:val="24"/>
          <w:highlight w:val="none"/>
        </w:rPr>
        <w:t xml:space="preserve">Справка о наличии имущества и обязательств на забалансовых счетах</w:t>
      </w:r>
      <w:r>
        <w:rPr>
          <w:rFonts w:ascii="PT Astra Serif" w:hAnsi="PT Astra Serif" w:cs="PT Astra Serif"/>
          <w:b/>
          <w:bCs/>
          <w:color w:val="000000"/>
          <w:sz w:val="24"/>
          <w:szCs w:val="24"/>
          <w:highlight w:val="none"/>
        </w:rPr>
      </w:r>
      <w:r>
        <w:rPr>
          <w:rFonts w:ascii="PT Astra Serif" w:hAnsi="PT Astra Serif" w:cs="PT Astra Serif"/>
          <w:b/>
          <w:bCs/>
          <w:color w:val="00000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sz w:val="24"/>
          <w:szCs w:val="24"/>
          <w:highlight w:val="none"/>
        </w:rPr>
        <w:t xml:space="preserve">Справка в составе Баланса (ф.0503130) настоящей бюджетной отчетности сформирована Департаментом на основании показателей по учету имущества и обязательств, отраженных на забалансовых счетах.</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Увеличение показателя по строке 020 «Материальные ценности на хранении» на сумму 2 135 653,75 руб. </w:t>
      </w:r>
      <w:r>
        <w:rPr>
          <w:rFonts w:ascii="PT Astra Serif" w:hAnsi="PT Astra Serif" w:eastAsia="PT Astra Serif" w:cs="PT Astra Serif"/>
          <w:b w:val="0"/>
          <w:bCs w:val="0"/>
          <w:sz w:val="24"/>
          <w:szCs w:val="24"/>
          <w:highlight w:val="none"/>
        </w:rPr>
        <w:t xml:space="preserve">В целях соблюдения положений приказа Минфина России от 3</w:t>
      </w:r>
      <w:r>
        <w:rPr>
          <w:rFonts w:ascii="PT Astra Serif" w:hAnsi="PT Astra Serif" w:eastAsia="PT Astra Serif" w:cs="PT Astra Serif"/>
          <w:b w:val="0"/>
          <w:bCs w:val="0"/>
          <w:sz w:val="24"/>
          <w:szCs w:val="24"/>
          <w:highlight w:val="none"/>
        </w:rPr>
        <w:t xml:space="preserve">1.12.2016 № 257н «Об утверждении федерального стандарта бухгалтерского учета для организаций государственного сектора «Основные средства» (более подробная информация изложена в комментариях к Таблице № 12 в текстовой части настоящей пояснительной записки).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260 о</w:t>
      </w:r>
      <w:r>
        <w:rPr>
          <w:rFonts w:ascii="PT Astra Serif" w:hAnsi="PT Astra Serif" w:eastAsia="PT Astra Serif" w:cs="PT Astra Serif"/>
          <w:b w:val="0"/>
          <w:bCs w:val="0"/>
          <w:sz w:val="24"/>
          <w:szCs w:val="24"/>
          <w:highlight w:val="none"/>
        </w:rPr>
        <w:t xml:space="preserve">тражен показатель по забалансовому счету 26 «Имущество, переданное в безвозмездное пользование» – нежилое помещение, переданное в безвозмездное пользование ОГБУ «ЦОПП» для размещения структурного подразделения регионального ведомственного проектного офиса.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270 отражен показатель по забалансовому счету 27 «Материальные ценности, выданные в личное п</w:t>
      </w:r>
      <w:r>
        <w:rPr>
          <w:rFonts w:ascii="PT Astra Serif" w:hAnsi="PT Astra Serif" w:eastAsia="PT Astra Serif" w:cs="PT Astra Serif"/>
          <w:b w:val="0"/>
          <w:bCs w:val="0"/>
          <w:sz w:val="24"/>
          <w:szCs w:val="24"/>
          <w:highlight w:val="none"/>
        </w:rPr>
        <w:t xml:space="preserve">ользование работникам (сотрудникам)» – для обеспечения трудовых функций в период командировок сотрудников, в также вне рабочее время (в случае необходимости учитывая часовой пояс иных регионов) выданы в пользование ноутбуки и периферийные устройства к ним.</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Изменение входящего остатка по данной строке в связи с исправлением ошибки прошлых лет. Информация отражена в Сведениях (ф.0503173) и текстовой части настоящей пояснительной записки.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540"/>
        <w:jc w:val="both"/>
        <w:spacing w:before="0" w:beforeAutospacing="0" w:after="0" w:line="283" w:lineRule="atLeast"/>
        <w:rPr>
          <w:rFonts w:ascii="PT Astra Serif" w:hAnsi="PT Astra Serif" w:cs="PT Astra Serif"/>
          <w:color w:val="000000"/>
          <w:sz w:val="24"/>
          <w:szCs w:val="24"/>
          <w:highlight w:val="yellow"/>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yellow"/>
        </w:rPr>
      </w:r>
      <w:r>
        <w:rPr>
          <w:rFonts w:ascii="PT Astra Serif" w:hAnsi="PT Astra Serif" w:cs="PT Astra Serif"/>
          <w:color w:val="000000"/>
          <w:sz w:val="24"/>
          <w:szCs w:val="24"/>
          <w:highlight w:val="yellow"/>
        </w:rPr>
      </w:r>
      <w:r>
        <w:rPr>
          <w:rFonts w:ascii="PT Astra Serif" w:hAnsi="PT Astra Serif" w:cs="PT Astra Serif"/>
          <w:color w:val="000000"/>
          <w:sz w:val="24"/>
          <w:szCs w:val="24"/>
          <w:highlight w:val="yellow"/>
        </w:rPr>
      </w:r>
    </w:p>
    <w:p>
      <w:pPr>
        <w:ind w:left="0" w:right="0" w:firstLine="540"/>
        <w:jc w:val="both"/>
        <w:spacing w:before="0" w:beforeAutospacing="0" w:after="0" w:line="283" w:lineRule="atLeast"/>
        <w:rPr>
          <w:rFonts w:ascii="PT Astra Serif" w:hAnsi="PT Astra Serif" w:cs="PT Astra Serif"/>
          <w:sz w:val="24"/>
          <w:szCs w:val="24"/>
          <w:highlight w:val="yellow"/>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yellow"/>
        </w:rPr>
      </w:r>
      <w:r>
        <w:rPr>
          <w:rFonts w:ascii="PT Astra Serif" w:hAnsi="PT Astra Serif" w:cs="PT Astra Serif"/>
          <w:sz w:val="24"/>
          <w:szCs w:val="24"/>
          <w:highlight w:val="yellow"/>
        </w:rPr>
      </w:r>
      <w:r>
        <w:rPr>
          <w:rFonts w:ascii="PT Astra Serif" w:hAnsi="PT Astra Serif" w:cs="PT Astra Serif"/>
          <w:sz w:val="24"/>
          <w:szCs w:val="24"/>
          <w:highlight w:val="yellow"/>
        </w:rPr>
      </w:r>
    </w:p>
    <w:p>
      <w:pPr>
        <w:ind w:left="0" w:right="0" w:firstLine="540"/>
        <w:jc w:val="both"/>
        <w:spacing w:before="0" w:beforeAutospacing="0" w:after="0" w:line="283" w:lineRule="atLeast"/>
        <w:rPr>
          <w:rFonts w:ascii="PT Astra Serif" w:hAnsi="PT Astra Serif" w:cs="PT Astra Serif"/>
          <w:color w:val="000000" w:themeColor="text1"/>
          <w:sz w:val="24"/>
          <w:szCs w:val="24"/>
          <w:highlight w:val="yellow"/>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yellow"/>
        </w:rPr>
      </w:r>
      <w:r>
        <w:rPr>
          <w:rFonts w:ascii="PT Astra Serif" w:hAnsi="PT Astra Serif" w:cs="PT Astra Serif"/>
          <w:color w:val="000000" w:themeColor="text1"/>
          <w:sz w:val="24"/>
          <w:szCs w:val="24"/>
          <w:highlight w:val="yellow"/>
        </w:rPr>
      </w:r>
      <w:r>
        <w:rPr>
          <w:rFonts w:ascii="PT Astra Serif" w:hAnsi="PT Astra Serif" w:cs="PT Astra Serif"/>
          <w:color w:val="000000" w:themeColor="text1"/>
          <w:sz w:val="24"/>
          <w:szCs w:val="24"/>
          <w:highlight w:val="yellow"/>
        </w:rPr>
      </w:r>
    </w:p>
    <w:p>
      <w:pPr>
        <w:jc w:val="both"/>
        <w:spacing w:before="0" w:beforeAutospacing="0" w:after="0" w:line="283" w:lineRule="atLeast"/>
        <w:rPr>
          <w:rFonts w:ascii="PT Astra Serif" w:hAnsi="PT Astra Serif" w:cs="PT Astra Serif"/>
          <w:b w:val="0"/>
          <w:bCs w:val="0"/>
          <w:sz w:val="24"/>
          <w:szCs w:val="24"/>
          <w:highlight w:val="yellow"/>
        </w:rPr>
      </w:pPr>
      <w:r>
        <w:rPr>
          <w:rFonts w:ascii="PT Astra Serif" w:hAnsi="PT Astra Serif" w:eastAsia="PT Astra Serif" w:cs="PT Astra Serif"/>
          <w:b w:val="0"/>
          <w:bCs w:val="0"/>
          <w:sz w:val="24"/>
          <w:szCs w:val="24"/>
          <w:highlight w:val="yellow"/>
        </w:rPr>
      </w:r>
      <w:r>
        <w:rPr>
          <w:rFonts w:ascii="PT Astra Serif" w:hAnsi="PT Astra Serif" w:cs="PT Astra Serif"/>
          <w:b w:val="0"/>
          <w:bCs w:val="0"/>
          <w:sz w:val="24"/>
          <w:szCs w:val="24"/>
          <w:highlight w:val="yellow"/>
        </w:rPr>
      </w:r>
      <w:r>
        <w:rPr>
          <w:rFonts w:ascii="PT Astra Serif" w:hAnsi="PT Astra Serif" w:cs="PT Astra Serif"/>
          <w:b w:val="0"/>
          <w:bCs w:val="0"/>
          <w:sz w:val="24"/>
          <w:szCs w:val="24"/>
          <w:highlight w:val="yellow"/>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bCs/>
          <w:sz w:val="24"/>
          <w:szCs w:val="24"/>
          <w:highlight w:val="none"/>
        </w:rPr>
        <w:t xml:space="preserve">Справка по консолидируемым расчетам (ф.0503125)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Справка (ф</w:t>
      </w:r>
      <w:r>
        <w:rPr>
          <w:rFonts w:ascii="PT Astra Serif" w:hAnsi="PT Astra Serif" w:eastAsia="PT Astra Serif" w:cs="PT Astra Serif"/>
          <w:b w:val="0"/>
          <w:bCs w:val="0"/>
          <w:sz w:val="24"/>
          <w:szCs w:val="24"/>
          <w:highlight w:val="none"/>
        </w:rPr>
        <w:t xml:space="preserve">.0503125) формируется в соответствии с положениями пунктов 23 - 42 Инструкции 191н в целях определения взаимосвязанных показателей, подлежащих исключению при формировании главным распорядителем бюджетных средств сводной справки по консолидируемым расчетам.</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Денежные расчеты – расчеты по операциям с денежными средствами, отражаемые в корреспонденции с соответствующими счетами аналитического учета счетов 1.210.02.000, 1.304.05.000.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Справка (</w:t>
      </w:r>
      <w:r>
        <w:rPr>
          <w:rFonts w:ascii="PT Astra Serif" w:hAnsi="PT Astra Serif" w:eastAsia="PT Astra Serif" w:cs="PT Astra Serif"/>
          <w:b w:val="0"/>
          <w:bCs w:val="0"/>
          <w:sz w:val="24"/>
          <w:szCs w:val="24"/>
          <w:highlight w:val="none"/>
        </w:rPr>
        <w:t xml:space="preserve">ф.0503125) сформирована Департаментом нарастающим итогом с начала отчетного финансового года на основании данных, отраженных на отчетную дату по счетам 1.401.10.151, 1.401.10.195 (получены материальные ценности от подведомственных Департаменту учреждений, </w:t>
      </w:r>
      <w:r>
        <w:rPr>
          <w:rFonts w:ascii="PT Astra Serif" w:hAnsi="PT Astra Serif" w:eastAsia="PT Astra Serif" w:cs="PT Astra Serif"/>
          <w:b w:val="0"/>
          <w:bCs w:val="0"/>
          <w:sz w:val="24"/>
          <w:szCs w:val="24"/>
          <w:highlight w:val="none"/>
        </w:rPr>
        <w:t xml:space="preserve">Департамента по социально-экономическому развитию села ТО (гаражное помещение)</w:t>
      </w:r>
      <w:r>
        <w:rPr>
          <w:rFonts w:ascii="PT Astra Serif" w:hAnsi="PT Astra Serif" w:eastAsia="PT Astra Serif" w:cs="PT Astra Serif"/>
          <w:b w:val="0"/>
          <w:bCs w:val="0"/>
          <w:sz w:val="24"/>
          <w:szCs w:val="24"/>
          <w:highlight w:val="none"/>
        </w:rPr>
        <w:t xml:space="preserve">, </w:t>
      </w:r>
      <w:r>
        <w:rPr>
          <w:rFonts w:ascii="PT Astra Serif" w:hAnsi="PT Astra Serif" w:eastAsia="PT Astra Serif" w:cs="PT Astra Serif"/>
          <w:b w:val="0"/>
          <w:bCs w:val="0"/>
          <w:sz w:val="24"/>
          <w:szCs w:val="24"/>
          <w:highlight w:val="none"/>
        </w:rPr>
        <w:t xml:space="preserve">ОГУ «Центр по охране и использованию памятников истории и культуры»</w:t>
      </w:r>
      <w:r>
        <w:rPr>
          <w:rFonts w:ascii="PT Astra Serif" w:hAnsi="PT Astra Serif" w:eastAsia="PT Astra Serif" w:cs="PT Astra Serif"/>
          <w:b w:val="0"/>
          <w:bCs w:val="0"/>
          <w:sz w:val="24"/>
          <w:szCs w:val="24"/>
          <w:highlight w:val="none"/>
        </w:rPr>
        <w:t xml:space="preserve"> (кондиционеры)), 1.401.20.251, 1.205.51.000 (задолженность по возврату муниципальными образованиями остатка средств 2</w:t>
      </w:r>
      <w:r>
        <w:rPr>
          <w:rFonts w:ascii="PT Astra Serif" w:hAnsi="PT Astra Serif" w:eastAsia="PT Astra Serif" w:cs="PT Astra Serif"/>
          <w:b w:val="0"/>
          <w:bCs w:val="0"/>
          <w:sz w:val="24"/>
          <w:szCs w:val="24"/>
          <w:highlight w:val="none"/>
        </w:rPr>
        <w:t xml:space="preserve">025 года), 1.205.51.561, 1.206.51.561, 1.206.51.661, 1.303.05.000 (задолженность по возврату остатка средств 2025 года в Минпросвещения России), 1.303.05.731, 1.303.05.831, 1.205.61.561, 1.401.20.281 (неденежные расчеты по передаче имущественных ценностей </w:t>
      </w:r>
      <w:r>
        <w:rPr>
          <w:rFonts w:ascii="PT Astra Serif" w:hAnsi="PT Astra Serif" w:eastAsia="PT Astra Serif" w:cs="PT Astra Serif"/>
          <w:b w:val="0"/>
          <w:bCs w:val="0"/>
          <w:sz w:val="24"/>
          <w:szCs w:val="24"/>
          <w:highlight w:val="none"/>
        </w:rPr>
        <w:t xml:space="preserve">Департаменту тарифного регулирования Томской области и Департаменту государственного заказа Томской области </w:t>
      </w:r>
      <w:r>
        <w:rPr>
          <w:rFonts w:ascii="PT Astra Serif" w:hAnsi="PT Astra Serif" w:eastAsia="PT Astra Serif" w:cs="PT Astra Serif"/>
          <w:b w:val="0"/>
          <w:bCs w:val="0"/>
          <w:sz w:val="24"/>
          <w:szCs w:val="24"/>
          <w:highlight w:val="none"/>
        </w:rPr>
        <w:t xml:space="preserve">- кондиционеры).</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По счетам 1.205.51.561 и 1.205.61.561 в корреспонденции со счетом 1.401.49.151 отражены суммы расчетов по доходам будущих периодов в рамках соглашений, заключенных между Минпросв</w:t>
      </w:r>
      <w:r>
        <w:rPr>
          <w:rFonts w:ascii="PT Astra Serif" w:hAnsi="PT Astra Serif" w:eastAsia="PT Astra Serif" w:cs="PT Astra Serif"/>
          <w:b w:val="0"/>
          <w:bCs w:val="0"/>
          <w:sz w:val="24"/>
          <w:szCs w:val="24"/>
          <w:highlight w:val="none"/>
        </w:rPr>
        <w:t xml:space="preserve">ещением России, Минцифра России и Администрацией Томской области на реализацию мероприятий, предусмотренных в рамках национальных проектов и организацию горячего питания учащихся 1-4 классов (главным администратором доходов бюджета является Департамент).  </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val="0"/>
          <w:bCs w:val="0"/>
          <w:sz w:val="24"/>
          <w:szCs w:val="24"/>
          <w:highlight w:val="none"/>
        </w:rPr>
        <w:t xml:space="preserve">В связи с отсутствием показателей в Отчете (ф.0503125) по счетам 1.304.04.</w:t>
      </w:r>
      <w:r>
        <w:rPr>
          <w:rFonts w:ascii="PT Astra Serif" w:hAnsi="PT Astra Serif" w:eastAsia="PT Astra Serif" w:cs="PT Astra Serif"/>
          <w:b w:val="0"/>
          <w:bCs w:val="0"/>
          <w:sz w:val="24"/>
          <w:szCs w:val="24"/>
          <w:highlight w:val="none"/>
        </w:rPr>
        <w:t xml:space="preserve">000, 1.304.06.000, 1.401.10.189, 1.401.20.241, 1.207.11.000, 1.207.21.000, 1.207.31.000, 1.207.11.541, 1.207.21.541, 1.207.31.541, 1.207.11.641, 1.207.21.641, 1.207.31.641, 1.206.51.000, 1.302.51.000, 1.302.51.831, 1.205.61.661, 1.401.10..161, 1.401.10.189</w:t>
      </w:r>
      <w:r>
        <w:rPr>
          <w:rFonts w:ascii="PT Astra Serif" w:hAnsi="PT Astra Serif" w:eastAsia="PT Astra Serif" w:cs="PT Astra Serif"/>
          <w:b w:val="0"/>
          <w:bCs w:val="0"/>
          <w:sz w:val="24"/>
          <w:szCs w:val="24"/>
          <w:highlight w:val="none"/>
        </w:rPr>
        <w:t xml:space="preserve">, 1.401.10.191, 1.401.10.281, 1.401.41.151, 1.401.41.161, 1.401.20.254, 1.206.54.000, 1.206.54.561, 1.206.54.661, 1.302.54.000, 1.302.51.831 соответствующие приложения Отчета (ф.0503125) в настоящей годовой отчетности не представлены (п.8 Инструкции 191н).</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tab/>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bCs/>
          <w:sz w:val="24"/>
          <w:szCs w:val="24"/>
          <w:highlight w:val="none"/>
        </w:rPr>
        <w:t xml:space="preserve">Справка п</w:t>
      </w:r>
      <w:r>
        <w:rPr>
          <w:rFonts w:ascii="PT Astra Serif" w:hAnsi="PT Astra Serif" w:eastAsia="PT Astra Serif" w:cs="PT Astra Serif"/>
          <w:b/>
          <w:bCs/>
          <w:sz w:val="24"/>
          <w:szCs w:val="24"/>
          <w:highlight w:val="none"/>
        </w:rPr>
        <w:t xml:space="preserve">о заключению счетов бюджетного учета отчетного финансового года (ф.0503110)</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Справка (ф.0503110) формируется Департаментом согласно положениям пунктов 43 - 46 Инструкции 191н и отражает о</w:t>
      </w:r>
      <w:r>
        <w:rPr>
          <w:rFonts w:ascii="PT Astra Serif" w:hAnsi="PT Astra Serif" w:eastAsia="PT Astra Serif" w:cs="PT Astra Serif"/>
          <w:b w:val="0"/>
          <w:bCs w:val="0"/>
          <w:sz w:val="24"/>
          <w:szCs w:val="24"/>
          <w:highlight w:val="none"/>
        </w:rPr>
        <w:t xml:space="preserve">бороты по счетам бюджетного учета, подлежащим закрытию по завершении отчетного финансового года в установленном порядке, в разрезе бюджетной деятельности (раздел 1 и раздел 3) и деятельности со средствами, поступающими во временное распоряжение (раздел 2).</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540"/>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color w:val="000000"/>
          <w:sz w:val="24"/>
          <w:szCs w:val="24"/>
          <w:highlight w:val="none"/>
        </w:rPr>
        <w:t xml:space="preserve">Раздел 1 Справки (ф. 0503110) сформирован Департаментом на основании данных по соответствующим кодам счетов:</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- 1.210.02.000 «Расчеты с финансовым органом по поступлениям в бюджет» -показатель идентичен показателю графы 5 строки 010 Отчета (ф.0503127);</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- 1.304.05.000 «Расчеты по платежа</w:t>
      </w:r>
      <w:r>
        <w:rPr>
          <w:rFonts w:ascii="PT Astra Serif" w:hAnsi="PT Astra Serif" w:eastAsia="PT Astra Serif" w:cs="PT Astra Serif"/>
          <w:color w:val="000000"/>
          <w:sz w:val="24"/>
          <w:szCs w:val="24"/>
          <w:highlight w:val="none"/>
        </w:rPr>
        <w:t xml:space="preserve">м из б</w:t>
      </w:r>
      <w:r>
        <w:rPr>
          <w:rFonts w:ascii="PT Astra Serif" w:hAnsi="PT Astra Serif" w:eastAsia="PT Astra Serif" w:cs="PT Astra Serif"/>
          <w:color w:val="000000"/>
          <w:sz w:val="24"/>
          <w:szCs w:val="24"/>
          <w:highlight w:val="none"/>
        </w:rPr>
        <w:t xml:space="preserve">юджета с финансовым органом» - показатель идентичен показателю графы 6 строки 200 Отчета (ф.0503127);</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- 1.401.10.000 «Доходы текущего финансового года», 1.401.20.000 «Расходы текущего финансового года» в сумме показателей, сформированных по состоянию на 1 января года, следующего за отчетным, в </w:t>
      </w:r>
      <w:r>
        <w:rPr>
          <w:rFonts w:ascii="PT Astra Serif" w:hAnsi="PT Astra Serif" w:eastAsia="PT Astra Serif" w:cs="PT Astra Serif"/>
          <w:color w:val="000000" w:themeColor="text1"/>
          <w:sz w:val="24"/>
          <w:szCs w:val="24"/>
          <w:highlight w:val="none"/>
        </w:rPr>
        <w:t xml:space="preserve">рамках бюджетной деятельности </w:t>
      </w:r>
      <w:r>
        <w:rPr>
          <w:rFonts w:ascii="PT Astra Serif" w:hAnsi="PT Astra Serif" w:eastAsia="PT Astra Serif" w:cs="PT Astra Serif"/>
          <w:color w:val="000000" w:themeColor="text1"/>
          <w:sz w:val="24"/>
          <w:szCs w:val="24"/>
          <w:highlight w:val="none"/>
          <w:u w:val="none"/>
        </w:rPr>
        <w:t xml:space="preserve">(раздел 1)</w:t>
      </w:r>
      <w:r>
        <w:rPr>
          <w:rFonts w:ascii="PT Astra Serif" w:hAnsi="PT Astra Serif" w:eastAsia="PT Astra Serif" w:cs="PT Astra Serif"/>
          <w:color w:val="000000" w:themeColor="text1"/>
          <w:sz w:val="24"/>
          <w:szCs w:val="24"/>
          <w:highlight w:val="none"/>
        </w:rPr>
        <w:t xml:space="preserve">, до проведения заключительных операций (</w:t>
      </w:r>
      <w:r>
        <w:rPr>
          <w:rFonts w:ascii="PT Astra Serif" w:hAnsi="PT Astra Serif" w:eastAsia="PT Astra Serif" w:cs="PT Astra Serif"/>
          <w:color w:val="000000" w:themeColor="text1"/>
          <w:sz w:val="24"/>
          <w:szCs w:val="24"/>
          <w:highlight w:val="none"/>
          <w:u w:val="none"/>
        </w:rPr>
        <w:t xml:space="preserve">графы 2</w:t>
      </w:r>
      <w:r>
        <w:rPr>
          <w:rFonts w:ascii="PT Astra Serif" w:hAnsi="PT Astra Serif" w:eastAsia="PT Astra Serif" w:cs="PT Astra Serif"/>
          <w:color w:val="000000" w:themeColor="text1"/>
          <w:sz w:val="24"/>
          <w:szCs w:val="24"/>
          <w:highlight w:val="none"/>
        </w:rPr>
        <w:t xml:space="preserve">, </w:t>
      </w:r>
      <w:r>
        <w:rPr>
          <w:rFonts w:ascii="PT Astra Serif" w:hAnsi="PT Astra Serif" w:eastAsia="PT Astra Serif" w:cs="PT Astra Serif"/>
          <w:color w:val="000000" w:themeColor="text1"/>
          <w:sz w:val="24"/>
          <w:szCs w:val="24"/>
          <w:highlight w:val="none"/>
          <w:u w:val="none"/>
        </w:rPr>
        <w:t xml:space="preserve">3</w:t>
      </w:r>
      <w:r>
        <w:rPr>
          <w:rFonts w:ascii="PT Astra Serif" w:hAnsi="PT Astra Serif" w:eastAsia="PT Astra Serif" w:cs="PT Astra Serif"/>
          <w:color w:val="000000" w:themeColor="text1"/>
          <w:sz w:val="24"/>
          <w:szCs w:val="24"/>
          <w:highlight w:val="none"/>
        </w:rPr>
        <w:t xml:space="preserve">) и в сумме заключительных операций по закрытию счетов, произведенных Департаментом 31 декабря, по завершении отчетного финансового года (</w:t>
      </w:r>
      <w:r>
        <w:rPr>
          <w:rFonts w:ascii="PT Astra Serif" w:hAnsi="PT Astra Serif" w:eastAsia="PT Astra Serif" w:cs="PT Astra Serif"/>
          <w:color w:val="000000" w:themeColor="text1"/>
          <w:sz w:val="24"/>
          <w:szCs w:val="24"/>
          <w:highlight w:val="none"/>
          <w:u w:val="none"/>
        </w:rPr>
        <w:t xml:space="preserve">графы 4</w:t>
      </w:r>
      <w:r>
        <w:rPr>
          <w:rFonts w:ascii="PT Astra Serif" w:hAnsi="PT Astra Serif" w:eastAsia="PT Astra Serif" w:cs="PT Astra Serif"/>
          <w:color w:val="000000" w:themeColor="text1"/>
          <w:sz w:val="24"/>
          <w:szCs w:val="24"/>
          <w:highlight w:val="none"/>
        </w:rPr>
        <w:t xml:space="preserve"> - </w:t>
      </w:r>
      <w:r>
        <w:rPr>
          <w:rFonts w:ascii="PT Astra Serif" w:hAnsi="PT Astra Serif" w:eastAsia="PT Astra Serif" w:cs="PT Astra Serif"/>
          <w:color w:val="000000" w:themeColor="text1"/>
          <w:sz w:val="24"/>
          <w:szCs w:val="24"/>
          <w:highlight w:val="none"/>
          <w:u w:val="none"/>
        </w:rPr>
        <w:t xml:space="preserve">9</w:t>
      </w:r>
      <w:r>
        <w:rPr>
          <w:rFonts w:ascii="PT Astra Serif" w:hAnsi="PT Astra Serif" w:eastAsia="PT Astra Serif" w:cs="PT Astra Serif"/>
          <w:color w:val="000000" w:themeColor="text1"/>
          <w:sz w:val="24"/>
          <w:szCs w:val="24"/>
          <w:highlight w:val="none"/>
        </w:rPr>
        <w:t xml:space="preserve">).</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Показатели по счетам 1.401.20.281 и 1.401.10.1ХХ в части безвозмездных передач (поступлений) отражены с учетом развернутых оборотов.</w:t>
      </w:r>
      <w:r>
        <w:rPr>
          <w:rFonts w:ascii="PT Astra Serif" w:hAnsi="PT Astra Serif" w:cs="PT Astra Serif"/>
          <w:color w:val="000000" w:themeColor="text1"/>
          <w:sz w:val="24"/>
          <w:szCs w:val="24"/>
          <w:highlight w:val="none"/>
        </w:rPr>
        <w:t xml:space="preserve"> Показатель по счету 1.204.33.000 в части расчетов с учредителем отражен с учетом развернутых оборотов.</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t xml:space="preserve">В показателях </w:t>
      </w:r>
      <w:r>
        <w:rPr>
          <w:rFonts w:ascii="PT Astra Serif" w:hAnsi="PT Astra Serif" w:eastAsia="PT Astra Serif" w:cs="PT Astra Serif"/>
          <w:color w:val="000000" w:themeColor="text1"/>
          <w:sz w:val="24"/>
          <w:szCs w:val="24"/>
          <w:highlight w:val="none"/>
          <w:u w:val="none"/>
        </w:rPr>
        <w:t xml:space="preserve">Справки</w:t>
      </w:r>
      <w:r>
        <w:rPr>
          <w:rFonts w:ascii="PT Astra Serif" w:hAnsi="PT Astra Serif" w:eastAsia="PT Astra Serif" w:cs="PT Astra Serif"/>
          <w:color w:val="000000" w:themeColor="text1"/>
          <w:sz w:val="24"/>
          <w:szCs w:val="24"/>
          <w:highlight w:val="none"/>
        </w:rPr>
        <w:t xml:space="preserve"> (ф. 0503110), не включены суммы изменений, связанных с исправлением ошибок прошлых лет, отраженных в </w:t>
      </w:r>
      <w:r>
        <w:rPr>
          <w:rFonts w:ascii="PT Astra Serif" w:hAnsi="PT Astra Serif" w:eastAsia="PT Astra Serif" w:cs="PT Astra Serif"/>
          <w:color w:val="000000" w:themeColor="text1"/>
          <w:sz w:val="24"/>
          <w:szCs w:val="24"/>
          <w:highlight w:val="none"/>
          <w:u w:val="none"/>
        </w:rPr>
        <w:t xml:space="preserve">графах 6</w:t>
      </w:r>
      <w:r>
        <w:rPr>
          <w:rFonts w:ascii="PT Astra Serif" w:hAnsi="PT Astra Serif" w:eastAsia="PT Astra Serif" w:cs="PT Astra Serif"/>
          <w:color w:val="000000" w:themeColor="text1"/>
          <w:sz w:val="24"/>
          <w:szCs w:val="24"/>
          <w:highlight w:val="none"/>
        </w:rPr>
        <w:t xml:space="preserve">, </w:t>
      </w:r>
      <w:r>
        <w:rPr>
          <w:rFonts w:ascii="PT Astra Serif" w:hAnsi="PT Astra Serif" w:eastAsia="PT Astra Serif" w:cs="PT Astra Serif"/>
          <w:color w:val="000000" w:themeColor="text1"/>
          <w:sz w:val="24"/>
          <w:szCs w:val="24"/>
          <w:highlight w:val="none"/>
          <w:u w:val="none"/>
        </w:rPr>
        <w:t xml:space="preserve">10</w:t>
      </w:r>
      <w:r>
        <w:rPr>
          <w:rFonts w:ascii="PT Astra Serif" w:hAnsi="PT Astra Serif" w:eastAsia="PT Astra Serif" w:cs="PT Astra Serif"/>
          <w:color w:val="000000" w:themeColor="text1"/>
          <w:sz w:val="24"/>
          <w:szCs w:val="24"/>
          <w:highlight w:val="none"/>
        </w:rPr>
        <w:t xml:space="preserve"> Сведений (ф. 0503173).</w:t>
      </w:r>
      <w:r>
        <w:rPr>
          <w:rFonts w:ascii="PT Astra Serif" w:hAnsi="PT Astra Serif" w:cs="PT Astra Serif"/>
          <w:color w:val="000000" w:themeColor="text1"/>
          <w:sz w:val="24"/>
          <w:szCs w:val="24"/>
          <w:highlight w:val="none"/>
        </w:rPr>
      </w:r>
      <w:r>
        <w:rPr>
          <w:rFonts w:ascii="PT Astra Serif" w:hAnsi="PT Astra Serif" w:cs="PT Astra Serif"/>
          <w:color w:val="000000" w:themeColor="text1"/>
          <w:sz w:val="24"/>
          <w:szCs w:val="24"/>
          <w:highlight w:val="none"/>
        </w:rPr>
      </w:r>
    </w:p>
    <w:p>
      <w:pPr>
        <w:ind w:left="0" w:right="0" w:firstLine="540"/>
        <w:jc w:val="both"/>
        <w:spacing w:before="0" w:beforeAutospacing="0" w:after="0" w:line="283" w:lineRule="atLeast"/>
        <w:rPr>
          <w:rFonts w:ascii="PT Astra Serif" w:hAnsi="PT Astra Serif" w:cs="PT Astra Serif"/>
          <w:color w:val="000000" w:themeColor="text1"/>
          <w:sz w:val="24"/>
          <w:szCs w:val="24"/>
          <w:highlight w:val="yellow"/>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yellow"/>
        </w:rPr>
      </w:r>
      <w:r>
        <w:rPr>
          <w:rFonts w:ascii="PT Astra Serif" w:hAnsi="PT Astra Serif" w:cs="PT Astra Serif"/>
          <w:color w:val="000000" w:themeColor="text1"/>
          <w:sz w:val="24"/>
          <w:szCs w:val="24"/>
          <w:highlight w:val="yellow"/>
        </w:rPr>
      </w:r>
      <w:r>
        <w:rPr>
          <w:rFonts w:ascii="PT Astra Serif" w:hAnsi="PT Astra Serif" w:cs="PT Astra Serif"/>
          <w:color w:val="000000" w:themeColor="text1"/>
          <w:sz w:val="24"/>
          <w:szCs w:val="24"/>
          <w:highlight w:val="yellow"/>
        </w:rPr>
      </w:r>
    </w:p>
    <w:p>
      <w:pPr>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val="0"/>
          <w:bCs w:val="0"/>
          <w:sz w:val="24"/>
          <w:szCs w:val="24"/>
          <w:highlight w:val="yellow"/>
        </w:rPr>
      </w: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bCs/>
          <w:sz w:val="24"/>
          <w:szCs w:val="24"/>
          <w:highlight w:val="none"/>
        </w:rPr>
        <w:t xml:space="preserve">Справка о суммах консоли</w:t>
      </w:r>
      <w:r>
        <w:rPr>
          <w:rFonts w:ascii="PT Astra Serif" w:hAnsi="PT Astra Serif" w:eastAsia="PT Astra Serif" w:cs="PT Astra Serif"/>
          <w:b/>
          <w:bCs/>
          <w:sz w:val="24"/>
          <w:szCs w:val="24"/>
          <w:highlight w:val="none"/>
        </w:rPr>
        <w:t xml:space="preserve">дируемых поступлений, подлежащих зачислению на счет бюджета (ф.0503184)</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Справка (ф.0503184) формируется согласно полож</w:t>
      </w:r>
      <w:r>
        <w:rPr>
          <w:rFonts w:ascii="PT Astra Serif" w:hAnsi="PT Astra Serif" w:eastAsia="PT Astra Serif" w:cs="PT Astra Serif"/>
          <w:b w:val="0"/>
          <w:bCs w:val="0"/>
          <w:sz w:val="24"/>
          <w:szCs w:val="24"/>
          <w:highlight w:val="none"/>
        </w:rPr>
        <w:t xml:space="preserve">ениям пункта 49 - 51 Инструкции 191н на основании данных о средствах бюджета, находящихся на отчетную дату на казначейском счете территориального органа Федерального казначейства для осуществления и отражения операций по учету и распределению поступлений, </w:t>
      </w:r>
      <w:r>
        <w:rPr>
          <w:rFonts w:ascii="PT Astra Serif" w:hAnsi="PT Astra Serif" w:eastAsia="PT Astra Serif" w:cs="PT Astra Serif"/>
          <w:color w:val="000000"/>
          <w:sz w:val="24"/>
          <w:szCs w:val="24"/>
          <w:highlight w:val="none"/>
        </w:rPr>
        <w:t xml:space="preserve">для их распределения по соответствующим бюджетам бюджетной системы Российской Федерации и подлежащих зачислению на счета соответствующих бюджетов в следующем отчетном периоде.</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В связи с </w:t>
      </w:r>
      <w:r>
        <w:rPr>
          <w:rFonts w:ascii="PT Astra Serif" w:hAnsi="PT Astra Serif" w:eastAsia="PT Astra Serif" w:cs="PT Astra Serif"/>
          <w:sz w:val="24"/>
          <w:szCs w:val="24"/>
          <w:highlight w:val="none"/>
        </w:rPr>
        <w:t xml:space="preserve">тем, что по сос</w:t>
      </w:r>
      <w:r>
        <w:rPr>
          <w:rFonts w:ascii="PT Astra Serif" w:hAnsi="PT Astra Serif" w:eastAsia="PT Astra Serif" w:cs="PT Astra Serif"/>
          <w:sz w:val="24"/>
          <w:szCs w:val="24"/>
          <w:highlight w:val="none"/>
        </w:rPr>
        <w:t xml:space="preserve">тоянию на отчетную дату в бюджетном учете Департамента отсутствует сальдо по счету 1.210.04.000 «Расчеты по распределенным поступлениям к зачислению в бюджет» в составе годовой бюджетной отчетности Справка (ф.0503184) не представлена (п.8 Инструкции 191н).</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708"/>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t xml:space="preserve">Кроме того, согласно пункту 50 Инструкции 191н показатели Справки (ф.0503184) за декабрь текущего финансового года должны иметь нулевое значение.</w:t>
      </w:r>
      <w:r>
        <w:rPr>
          <w:rFonts w:ascii="PT Astra Serif" w:hAnsi="PT Astra Serif" w:cs="PT Astra Serif"/>
          <w:sz w:val="24"/>
          <w:szCs w:val="24"/>
          <w:highlight w:val="none"/>
        </w:rPr>
      </w:r>
      <w:r>
        <w:rPr>
          <w:rFonts w:ascii="PT Astra Serif" w:hAnsi="PT Astra Serif" w:cs="PT Astra Serif"/>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yellow"/>
        </w:rPr>
      </w:pPr>
      <w:r>
        <w:rPr>
          <w:rFonts w:ascii="PT Astra Serif" w:hAnsi="PT Astra Serif" w:eastAsia="PT Astra Serif" w:cs="PT Astra Serif"/>
          <w:b w:val="0"/>
          <w:bCs w:val="0"/>
          <w:sz w:val="24"/>
          <w:szCs w:val="24"/>
          <w:highlight w:val="yellow"/>
        </w:rPr>
      </w:r>
      <w:r>
        <w:rPr>
          <w:rFonts w:ascii="PT Astra Serif" w:hAnsi="PT Astra Serif" w:cs="PT Astra Serif"/>
          <w:b w:val="0"/>
          <w:bCs w:val="0"/>
          <w:sz w:val="24"/>
          <w:szCs w:val="24"/>
          <w:highlight w:val="yellow"/>
        </w:rPr>
      </w:r>
      <w:r>
        <w:rPr>
          <w:rFonts w:ascii="PT Astra Serif" w:hAnsi="PT Astra Serif" w:cs="PT Astra Serif"/>
          <w:b w:val="0"/>
          <w:bCs w:val="0"/>
          <w:sz w:val="24"/>
          <w:szCs w:val="24"/>
          <w:highlight w:val="yellow"/>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bCs/>
          <w:sz w:val="24"/>
          <w:szCs w:val="24"/>
          <w:highlight w:val="none"/>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Отчет (ф.0503127) формируется согласно положениям пунктов 52 - 60 Инструкции 191н на основании данных по исполнению бюджета получателей бюджетных средств и администраторов доходов бюджета в рамках осуществляемой ими деятельности.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Показатели Отчета (ф.0503127) сформированы Департаментом до заключительных операций по закрытию счетов при завершении финансового года, проведенных 31 декабря отчетного финансового года.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Показатели раздела 1 «Доходы бюджета» Отчета (ф.0503127) сформированы в разрезе кодов доходов бюджетной классификации в структуре утвержденных плановых (прогнозных) показателей по доходам и их исполнения.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right"/>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руб.</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bl>
      <w:tblPr>
        <w:tblStyle w:val="762"/>
        <w:tblW w:w="0" w:type="auto"/>
        <w:tblLayout w:type="fixed"/>
        <w:tblLook w:val="04A0" w:firstRow="1" w:lastRow="0" w:firstColumn="1" w:lastColumn="0" w:noHBand="0" w:noVBand="1"/>
      </w:tblPr>
      <w:tblGrid>
        <w:gridCol w:w="3118"/>
        <w:gridCol w:w="3402"/>
        <w:gridCol w:w="3118"/>
      </w:tblGrid>
      <w:tr>
        <w:tblPrEx/>
        <w:trPr>
          <w:trHeight w:val="359"/>
        </w:trPr>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План по доходам</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402"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Исполнено </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 исполнения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2 145 045 015,15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402"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2 134 495 595,90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99,5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bl>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Основные причины неисполненных плановых назначений в отчетном периоде изложены в табличной части Сведений (ф.0503164) настоящей бюджетной отчетности Департамента.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Показатели раздела 2 «</w:t>
      </w:r>
      <w:r>
        <w:rPr>
          <w:rFonts w:ascii="PT Astra Serif" w:hAnsi="PT Astra Serif" w:eastAsia="PT Astra Serif" w:cs="PT Astra Serif"/>
          <w:b w:val="0"/>
          <w:bCs w:val="0"/>
          <w:sz w:val="24"/>
          <w:szCs w:val="24"/>
          <w:highlight w:val="none"/>
        </w:rPr>
        <w:t xml:space="preserve">Расходы бюджета» Отчета (ф.0503127) сформированы в разрезе групп, подгрупп, элементов видов расходов (целевая статья и код вида расходов) в структуре утвержденных назначений бюджетной росписи с учетом последующих изменений на отчетную дату и их исполнения.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right"/>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 </w:t>
      </w:r>
      <w:r>
        <w:rPr>
          <w:rFonts w:ascii="PT Astra Serif" w:hAnsi="PT Astra Serif" w:eastAsia="PT Astra Serif" w:cs="PT Astra Serif"/>
          <w:b w:val="0"/>
          <w:bCs w:val="0"/>
          <w:sz w:val="24"/>
          <w:szCs w:val="24"/>
          <w:highlight w:val="none"/>
        </w:rPr>
        <w:t xml:space="preserve">руб.</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bl>
      <w:tblPr>
        <w:tblStyle w:val="762"/>
        <w:tblW w:w="0" w:type="auto"/>
        <w:tblLayout w:type="fixed"/>
        <w:tblLook w:val="04A0" w:firstRow="1" w:lastRow="0" w:firstColumn="1" w:lastColumn="0" w:noHBand="0" w:noVBand="1"/>
      </w:tblPr>
      <w:tblGrid>
        <w:gridCol w:w="3118"/>
        <w:gridCol w:w="3402"/>
        <w:gridCol w:w="3118"/>
      </w:tblGrid>
      <w:tr>
        <w:tblPrEx/>
        <w:trPr>
          <w:trHeight w:val="359"/>
        </w:trPr>
        <w:tc>
          <w:tcPr>
            <w:tcBorders>
              <w:top w:val="single" w:color="000000" w:sz="4" w:space="0"/>
              <w:left w:val="single" w:color="000000" w:sz="4" w:space="0"/>
              <w:bottom w:val="single" w:color="000000" w:sz="4" w:space="0"/>
              <w:right w:val="single" w:color="000000" w:sz="4" w:space="0"/>
            </w:tcBorders>
            <w:tcW w:w="3118" w:type="dxa"/>
            <w:vAlign w:val="center"/>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Утверждено бюджетных назначений</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402" w:type="dxa"/>
            <w:vAlign w:val="center"/>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Исполнено </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118" w:type="dxa"/>
            <w:vAlign w:val="center"/>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Неисполненные назначения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30 573 045 092,87</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402"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30 515 801 353,39</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57 243 739,48</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bl>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tabs>
          <w:tab w:val="left" w:pos="7181" w:leader="none"/>
        </w:tabs>
        <w:rPr>
          <w:rFonts w:ascii="PT Astra Serif" w:hAnsi="PT Astra Serif" w:cs="PT Astra Serif"/>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eastAsia="PT Astra Serif" w:cs="PT Astra Serif"/>
          <w:sz w:val="24"/>
          <w:szCs w:val="24"/>
          <w:highlight w:val="none"/>
        </w:rPr>
        <w:t xml:space="preserve">Основные причины неисполненных Департаментом утвержденных бюджетных назначений с процентом менее 95 изложены в табличной части настоящей пояснительной записки.</w:t>
      </w:r>
      <w:r>
        <w:rPr>
          <w:rFonts w:ascii="PT Astra Serif" w:hAnsi="PT Astra Serif" w:eastAsia="PT Astra Serif" w:cs="PT Astra Serif"/>
          <w:sz w:val="24"/>
          <w:szCs w:val="24"/>
          <w:highlight w:val="none"/>
        </w:rPr>
        <w:tab/>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tabs>
          <w:tab w:val="left" w:pos="7181" w:leader="none"/>
        </w:tabs>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Кроме того, по завершению отчетного периода в Отчете (ф.0503127) отражены показатели по которым исполнение менее 100%. Основными причинами являются:</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возврат в декабре 2025 года остатка средств межбюджетных трансфертов (областной бюджет) г.Кедровый (переименование муниципального образования и необходимость закрытия лицевого счета ГАДБ 31.12.2025) – </w:t>
      </w:r>
      <w:r>
        <w:rPr>
          <w:rFonts w:ascii="PT Astra Serif" w:hAnsi="PT Astra Serif" w:eastAsia="PT Astra Serif" w:cs="PT Astra Serif"/>
          <w:sz w:val="24"/>
          <w:szCs w:val="24"/>
          <w:highlight w:val="none"/>
        </w:rPr>
        <w:t xml:space="preserve">в части остатка по средствам областного бюджета по расчетам с муниципальными оранами управления образованием (межбюджетные трансферты КВР группы 500);</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начисление заработной платы по сотрудникам структурных подразделений Департамента согласно табелю отработанного времени (остаток по КВР 111, 121);</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отмена участия в междугородних конференциях и курсах повышения квалификации в целях соблюдения распоряжения Ад</w:t>
      </w:r>
      <w:r>
        <w:rPr>
          <w:rFonts w:ascii="PT Astra Serif" w:hAnsi="PT Astra Serif" w:eastAsia="PT Astra Serif" w:cs="PT Astra Serif"/>
          <w:sz w:val="24"/>
          <w:szCs w:val="24"/>
          <w:highlight w:val="none"/>
        </w:rPr>
        <w:t xml:space="preserve">министрации Томской области от 04.12.2025 № 190-р-в «О мерах по обеспечению сбалансированного областного бюджета в 2025 - 2026 годах». Данные расходы не вошли в перечень расходов областного бюджета в декабре 2025 года в приоритетном порядке (КВР 112, 122);</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компенсационные выплаты педагогическим работникам за работу по подготовке и проведению государственной итоговой аттестации меньше, чем планировалось в отчетном периоде (КВР 113);</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нарушение поставщиком сроков поставки мониторов (Департаментом 30.12.2025 в адрес поставщика направлена претензия),  </w:t>
      </w:r>
      <w:r>
        <w:rPr>
          <w:rFonts w:ascii="PT Astra Serif" w:hAnsi="PT Astra Serif" w:eastAsia="PT Astra Serif" w:cs="PT Astra Serif"/>
          <w:sz w:val="24"/>
          <w:szCs w:val="24"/>
          <w:highlight w:val="none"/>
        </w:rPr>
        <w:t xml:space="preserve">фактическое потребление коммунальных услуг меньше, чем планировалось (экономия энергоресурсов в связи с осуществлением Департаментом постоянн</w:t>
      </w:r>
      <w:r>
        <w:rPr>
          <w:rFonts w:ascii="PT Astra Serif" w:hAnsi="PT Astra Serif" w:eastAsia="PT Astra Serif" w:cs="PT Astra Serif"/>
          <w:sz w:val="24"/>
          <w:szCs w:val="24"/>
          <w:highlight w:val="none"/>
        </w:rPr>
        <w:t xml:space="preserve">ого контроля за потреблением электроэнергии, воды; тепловая энергия выставляется с учетом наружней температуры воздуха; поздний запуск (начало ноября) тепловой энергии в корпусе Департамента по адресам пр.Ленина 111, Батенькова 3 и 5 связи с аварийной ситу</w:t>
      </w:r>
      <w:r>
        <w:rPr>
          <w:rFonts w:ascii="PT Astra Serif" w:hAnsi="PT Astra Serif" w:eastAsia="PT Astra Serif" w:cs="PT Astra Serif"/>
          <w:sz w:val="24"/>
          <w:szCs w:val="24"/>
          <w:highlight w:val="none"/>
        </w:rPr>
        <w:t xml:space="preserve">ацией на общей тепловой трассе); фактическое потребление топлива меньше, чем планировалось в связи с отменой командировок по территории Томской области, экономия средств по услугам связи и почтовым расходам (отправка писем почтовыми сообщениями) (КВР 244);</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остаток средств по выплатам (КВР 313), предусмотренным в бюджетной росписи Департамента согласно распоряжению Департамента от 11.11.2025 № 1707 «Об утверждении списка лиц, имеющих право на получение меры социальной поддержки в ви</w:t>
      </w:r>
      <w:r>
        <w:rPr>
          <w:rFonts w:ascii="PT Astra Serif" w:hAnsi="PT Astra Serif" w:eastAsia="PT Astra Serif" w:cs="PT Astra Serif"/>
          <w:sz w:val="24"/>
          <w:szCs w:val="24"/>
          <w:highlight w:val="none"/>
        </w:rPr>
        <w:t xml:space="preserve">де единовременной денежной выплаты педагогическим работникам областных государственных и муниципальных общеобразовательных организаций в Томской области (в соответствии с Законом Томской области от 06.06.2025 № 49-ОЗ «О дополнительных мерах социальной подд</w:t>
      </w:r>
      <w:r>
        <w:rPr>
          <w:rFonts w:ascii="PT Astra Serif" w:hAnsi="PT Astra Serif" w:eastAsia="PT Astra Serif" w:cs="PT Astra Serif"/>
          <w:sz w:val="24"/>
          <w:szCs w:val="24"/>
          <w:highlight w:val="none"/>
        </w:rPr>
        <w:t xml:space="preserve">ержки педагогических работников областных государственных и муниципальных общеобразовательных организаций в Томской области»): в том числе из 20 претендентов средства были перечислены Департаментом 19 педагогическим работникам (в связи с несоответствием пр</w:t>
      </w:r>
      <w:r>
        <w:rPr>
          <w:rFonts w:ascii="PT Astra Serif" w:hAnsi="PT Astra Serif" w:eastAsia="PT Astra Serif" w:cs="PT Astra Serif"/>
          <w:sz w:val="24"/>
          <w:szCs w:val="24"/>
          <w:highlight w:val="none"/>
        </w:rPr>
        <w:t xml:space="preserve">едставленного получателем пакета документов требованиям Закона Томской области о выплате), возврат кредитной организацией части средств в связи с отсутствием задолженности у получателя (на дату погашения ипотечного кредита сумма задолженности меньше, чем с</w:t>
      </w:r>
      <w:r>
        <w:rPr>
          <w:rFonts w:ascii="PT Astra Serif" w:hAnsi="PT Astra Serif" w:eastAsia="PT Astra Serif" w:cs="PT Astra Serif"/>
          <w:sz w:val="24"/>
          <w:szCs w:val="24"/>
          <w:highlight w:val="none"/>
        </w:rPr>
        <w:t xml:space="preserve">умма по справке, представленной педагогом на дату подачи документов в Департамент), остаток обязательств по ипотечному кредиту на дату предоставления педагогом пакета документов меньше, чем сумма, предусмотренная законодательством (отсутствие потребности);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остаток средств по итогам выплат премий в рамках региональных конкурсов, проводимых Департаментом в рамках постановления Администрации Томской области от 21.02.2025 № 20 «О премиях Губернатора Томской области лучшим педагогическим и руководящим р</w:t>
      </w:r>
      <w:r>
        <w:rPr>
          <w:rFonts w:ascii="PT Astra Serif" w:hAnsi="PT Astra Serif" w:eastAsia="PT Astra Serif" w:cs="PT Astra Serif"/>
          <w:sz w:val="24"/>
          <w:szCs w:val="24"/>
          <w:highlight w:val="none"/>
        </w:rPr>
        <w:t xml:space="preserve">аботникам в сфере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 и «Абилимпикс». Выплата осуществлялась Департаментом согласно определения победителей;</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остаток средств по выплатам (КВР 613), предусмотренным в бюджетной росписи Департамента согласно постановлению Администрации Томской области от 23.10.2025 № 487а «О предоставлении</w:t>
      </w:r>
      <w:r>
        <w:rPr>
          <w:rFonts w:ascii="PT Astra Serif" w:hAnsi="PT Astra Serif" w:eastAsia="PT Astra Serif" w:cs="PT Astra Serif"/>
          <w:sz w:val="24"/>
          <w:szCs w:val="24"/>
          <w:highlight w:val="none"/>
        </w:rPr>
        <w:t xml:space="preserve"> из областного бюджета грантов в форме субсидий дошкольным образовательным организациям, общеобразовательным организациям, организациям дополнительного образования, профессиональным образовательным организациям, являющимся победителями конкурса «Через терн</w:t>
      </w:r>
      <w:r>
        <w:rPr>
          <w:rFonts w:ascii="PT Astra Serif" w:hAnsi="PT Astra Serif" w:eastAsia="PT Astra Serif" w:cs="PT Astra Serif"/>
          <w:sz w:val="24"/>
          <w:szCs w:val="24"/>
          <w:highlight w:val="none"/>
        </w:rPr>
        <w:t xml:space="preserve">ии к звездам», на реализацию проектов, направленных на развитие системы образования Томской области, разработанных командами педагогических работников образовательных организаций». Из 9 заявленных участников, победителями объявлено 8, в том числе по номина</w:t>
      </w:r>
      <w:r>
        <w:rPr>
          <w:rFonts w:ascii="PT Astra Serif" w:hAnsi="PT Astra Serif" w:eastAsia="PT Astra Serif" w:cs="PT Astra Serif"/>
          <w:sz w:val="24"/>
          <w:szCs w:val="24"/>
          <w:highlight w:val="none"/>
        </w:rPr>
        <w:t xml:space="preserve">циям «Воспитание» 3 проекта (г.Томск и Кожевниковский район), «Качество образования» 3 проекта (образовательные учреждения г.Стрежевой и г.Томск), «Особенные дети» 2 проекта (учреждения системы профессионального образования, подведомственные Департаменту);</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остаток средств по средствам субсидии, предусмотренной на финансовое обеспечение выполнения государственного задания областными государственными учреждениями в отношении которых Департамент выполняет функции и полномочия </w:t>
      </w:r>
      <w:r>
        <w:rPr>
          <w:rFonts w:ascii="PT Astra Serif" w:hAnsi="PT Astra Serif" w:eastAsia="PT Astra Serif" w:cs="PT Astra Serif"/>
          <w:sz w:val="24"/>
          <w:szCs w:val="24"/>
          <w:highlight w:val="none"/>
        </w:rPr>
        <w:t xml:space="preserve">учредителя (КВР 611, 621) в связи с перерасчетом годового объема на основании предварительного отчета о выполнении государственного задания, представленного учреждениями учредителю в отчетном периоде в установленные законодательством Томской области сроки;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 остаток</w:t>
      </w:r>
      <w:r>
        <w:rPr>
          <w:rFonts w:ascii="PT Astra Serif" w:hAnsi="PT Astra Serif" w:eastAsia="PT Astra Serif" w:cs="PT Astra Serif"/>
          <w:sz w:val="24"/>
          <w:szCs w:val="24"/>
          <w:highlight w:val="none"/>
        </w:rPr>
        <w:t xml:space="preserve"> средств по средствам целевой субсидии (КВР 612, 622) в связи с экономией, образовавшейся по итогам проведения конкурсных процедур при определении стоимости работ (услуг). Перераспределение средств на потребности, заявленные образовательными учреждениями, </w:t>
      </w:r>
      <w:r>
        <w:rPr>
          <w:rFonts w:ascii="PT Astra Serif" w:hAnsi="PT Astra Serif" w:eastAsia="PT Astra Serif" w:cs="PT Astra Serif"/>
          <w:sz w:val="24"/>
          <w:szCs w:val="24"/>
          <w:highlight w:val="none"/>
        </w:rPr>
        <w:t xml:space="preserve">в отношении которых Департамент выполняет функции и полномочия учредителя, в декабре отчетного года не представлялось возможным в виду длительности проведения конкурсных процедур для определения учреждениями стоимости в рамках вновь заключенных соглашений.</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Раздел 3 «Источники финансирования дефицита бюджета» отражает общие итоги исполненных показателей. Контрольные значения данного раздела (строки 500, 811, 812) соответствуют итоговым строкам раздела 1 (строка 010) и 2 (строка 200 и 450) Отчета (ф.0503127).</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0"/>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sz w:val="24"/>
          <w:szCs w:val="24"/>
          <w:highlight w:val="none"/>
        </w:rPr>
        <w:tab/>
      </w:r>
      <w:r>
        <w:rPr>
          <w:rFonts w:ascii="PT Astra Serif" w:hAnsi="PT Astra Serif" w:eastAsia="PT Astra Serif" w:cs="PT Astra Serif"/>
          <w:b/>
          <w:bCs/>
          <w:sz w:val="24"/>
          <w:szCs w:val="24"/>
          <w:highlight w:val="none"/>
        </w:rPr>
        <w:t xml:space="preserve">Отчет о бюджетных обязательствах (ф.0503128)</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Отчет (ф.0503128) формируется в соответствии с положениями соответствующих пунктов Инструкции 191н и отражает данные о принятых и исполненных Департаментом бюджетных обязательств в рамках осуществляемой деятельности.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Отчет (ф.0503128) сформирован в структуре:</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Раздел 1 «Бюджетные обязательства текущего (отчетного) финансового года по расходам»;</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Раздел 2 «Бюджетные обязательства текущего (отчетного) финансового года по выплатам источников финансирования дефицита бюджета»;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val="0"/>
          <w:bCs w:val="0"/>
          <w:sz w:val="24"/>
          <w:szCs w:val="24"/>
          <w:highlight w:val="none"/>
        </w:rPr>
        <w:tab/>
        <w:t xml:space="preserve">Раздел 3 «Обязательства финансовых годов, следующих за текущим (отчетным) финансовым годом.</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В разделе 1 Отчета (ф.0503128) Департаментом отражены показатели принятых денежных обязательств отчетного финансового года по расход</w:t>
      </w:r>
      <w:r>
        <w:rPr>
          <w:rFonts w:ascii="PT Astra Serif" w:hAnsi="PT Astra Serif" w:eastAsia="PT Astra Serif" w:cs="PT Astra Serif"/>
          <w:b w:val="0"/>
          <w:bCs w:val="0"/>
          <w:sz w:val="24"/>
          <w:szCs w:val="24"/>
          <w:highlight w:val="none"/>
        </w:rPr>
        <w:t xml:space="preserve">ам. Учитывая требования пункта 2 статьи 219 БК РФ Департаментом в отчетном периоде денежные обязательства приняты в сумме, не превышающей бюджетные обязательства, соответственно в графе 10 Отчета (ф.0503128) отсутствуют показатели в отрицательном значении.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cs="PT Astra Serif"/>
          <w:b w:val="0"/>
          <w:bCs w:val="0"/>
          <w:sz w:val="24"/>
          <w:szCs w:val="24"/>
          <w:highlight w:val="none"/>
        </w:rPr>
        <w:tab/>
        <w:t xml:space="preserve">Информация о неисполненных обязательствах отражена в Сведениях (ф. 0503175) настоящей бюджетной отчетности. Дополнительно критерии раскрыты в табличной части пояснительной записки настоящей бюджетной отчетности.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cs="PT Astra Serif"/>
          <w:b w:val="0"/>
          <w:bCs w:val="0"/>
          <w:sz w:val="24"/>
          <w:szCs w:val="24"/>
          <w:highlight w:val="none"/>
        </w:rPr>
        <w:tab/>
        <w:t xml:space="preserve">В разделе 3 Отчета (ф.0503128) по строке </w:t>
      </w:r>
      <w:r>
        <w:rPr>
          <w:rFonts w:ascii="PT Astra Serif" w:hAnsi="PT Astra Serif" w:cs="PT Astra Serif"/>
          <w:b w:val="0"/>
          <w:bCs w:val="0"/>
          <w:sz w:val="24"/>
          <w:szCs w:val="24"/>
          <w:highlight w:val="none"/>
        </w:rPr>
        <w:t xml:space="preserve">700 отражена информация по утвержденным на плановый период 2025 года (2026-2027 годы) бюджетным ассигнованиям (графа 4) и лимитам бюджетных обязательств (графа 5), принятым и отложенным в отчетном периоде бюджетным обязательствам (графа 7), в том числе по </w:t>
      </w:r>
      <w:r>
        <w:rPr>
          <w:rFonts w:ascii="PT Astra Serif" w:hAnsi="PT Astra Serif" w:cs="PT Astra Serif"/>
          <w:b w:val="0"/>
          <w:bCs w:val="0"/>
          <w:sz w:val="24"/>
          <w:szCs w:val="24"/>
          <w:highlight w:val="none"/>
        </w:rPr>
        <w:t xml:space="preserve">результатам конкурсных процедур (графа 8), денежным обязательствам (графа 9). По строке 840 отражена информация по отложенным обязательствам (показатель по счету 1.502.99.000 идентичен показателю по счету 1.401.60.000, отраженному в Сведениях (ф.0503169)).</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cs="PT Astra Serif"/>
          <w:b w:val="0"/>
          <w:bCs w:val="0"/>
          <w:sz w:val="24"/>
          <w:szCs w:val="24"/>
          <w:highlight w:val="none"/>
        </w:rPr>
        <w:tab/>
        <w:t xml:space="preserve">Показатель по графе 7 строки 700 Отчета (ф.0503128) включает показатель графы 7 строки 840 настоящего раздела, а также сумму соглашений, заключенных Департаментом в 2025 году на предоставление:</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cs="PT Astra Serif"/>
          <w:b w:val="0"/>
          <w:bCs w:val="0"/>
          <w:sz w:val="24"/>
          <w:szCs w:val="24"/>
          <w:highlight w:val="none"/>
        </w:rPr>
        <w:t xml:space="preserve">- межбюджетных трансфертов муниципальному образованию Город Томск (сумма </w:t>
        <w:br/>
        <w:t xml:space="preserve">21 420 000,00 руб.)</w:t>
      </w:r>
      <w:r>
        <w:rPr>
          <w:rFonts w:ascii="PT Astra Serif" w:hAnsi="PT Astra Serif" w:cs="PT Astra Serif"/>
          <w:b w:val="0"/>
          <w:bCs w:val="0"/>
          <w:sz w:val="24"/>
          <w:szCs w:val="24"/>
          <w:highlight w:val="none"/>
        </w:rPr>
        <w:t xml:space="preserve"> - </w:t>
      </w:r>
      <w:r>
        <w:rPr>
          <w:rFonts w:ascii="PT Astra Serif" w:hAnsi="PT Astra Serif" w:cs="PT Astra Serif"/>
          <w:b w:val="0"/>
          <w:bCs w:val="0"/>
          <w:sz w:val="24"/>
          <w:szCs w:val="24"/>
          <w:highlight w:val="none"/>
        </w:rPr>
        <w:t xml:space="preserve">обеспечение антитеррористической защиты отремонтированных зданий МОО</w:t>
      </w:r>
      <w:r>
        <w:rPr>
          <w:rFonts w:ascii="PT Astra Serif" w:hAnsi="PT Astra Serif" w:cs="PT Astra Serif"/>
          <w:b w:val="0"/>
          <w:bCs w:val="0"/>
          <w:sz w:val="24"/>
          <w:szCs w:val="24"/>
          <w:highlight w:val="none"/>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cs="PT Astra Serif"/>
          <w:b w:val="0"/>
          <w:bCs w:val="0"/>
          <w:sz w:val="24"/>
          <w:szCs w:val="24"/>
          <w:highlight w:val="none"/>
        </w:rPr>
        <w:t xml:space="preserve">- субсидии на иные цели ОГБПОУ «ТГПК» (сумма 3 061 320,00 руб.) - </w:t>
      </w:r>
      <w:r>
        <w:rPr>
          <w:rFonts w:ascii="PT Astra Serif" w:hAnsi="PT Astra Serif" w:cs="PT Astra Serif"/>
          <w:b w:val="0"/>
          <w:bCs w:val="0"/>
          <w:sz w:val="24"/>
          <w:szCs w:val="24"/>
          <w:highlight w:val="none"/>
        </w:rPr>
        <w:t xml:space="preserve">на финансовое обеспечение расходов на аренду недвижимого имущества</w:t>
      </w:r>
      <w:r>
        <w:rPr>
          <w:rFonts w:ascii="PT Astra Serif" w:hAnsi="PT Astra Serif" w:cs="PT Astra Serif"/>
          <w:b w:val="0"/>
          <w:bCs w:val="0"/>
          <w:sz w:val="24"/>
          <w:szCs w:val="24"/>
          <w:highlight w:val="none"/>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bCs/>
          <w:sz w:val="24"/>
          <w:szCs w:val="24"/>
          <w:highlight w:val="none"/>
        </w:rPr>
        <w:tab/>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bCs/>
          <w:sz w:val="24"/>
          <w:szCs w:val="24"/>
          <w:highlight w:val="none"/>
        </w:rPr>
        <w:t xml:space="preserve">Отчет о бюджетных обязательствах (ф.0503128-НП)</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540"/>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Отчет (ф.0503128-НП) формируется в соответствии с положениями Инструкции 191н с учетом положений, предусмотренных по заполнению Отчета (ф.0503128) и раскрывает информацию о ходе реализации Департаментом национальных проектов (региональных проектов, </w:t>
      </w:r>
      <w:r>
        <w:rPr>
          <w:rFonts w:ascii="PT Astra Serif" w:hAnsi="PT Astra Serif" w:eastAsia="PT Astra Serif" w:cs="PT Astra Serif"/>
          <w:color w:val="000000"/>
          <w:sz w:val="24"/>
          <w:szCs w:val="24"/>
        </w:rPr>
        <w:t xml:space="preserve">обеспечивающих достижении показателей и реализацию мероприятий (результатов) федеральных проектов, входящих в состав национальных проектов).</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В отчетном периоде Департаментом реализовывались мероприятия, предусмотренные в рамках:</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 федерального проекта «Педагоги и наставники» национального проекта «Молодежь и дети» (</w:t>
      </w:r>
      <w:r>
        <w:rPr>
          <w:rFonts w:ascii="PT Astra Serif" w:hAnsi="PT Astra Serif" w:eastAsia="PT Astra Serif" w:cs="PT Astra Serif"/>
          <w:color w:val="000000"/>
          <w:sz w:val="24"/>
          <w:szCs w:val="24"/>
          <w:highlight w:val="none"/>
        </w:rP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Pr>
          <w:rFonts w:ascii="PT Astra Serif" w:hAnsi="PT Astra Serif" w:eastAsia="PT Astra Serif" w:cs="PT Astra Serif"/>
          <w:color w:val="000000"/>
          <w:sz w:val="24"/>
          <w:szCs w:val="24"/>
          <w:highlight w:val="none"/>
        </w:rPr>
        <w:t xml:space="preserve">). Выплата направлена 7 учителям, прошедшим конкурсный отбор</w:t>
      </w:r>
      <w:r>
        <w:rPr>
          <w:rFonts w:ascii="PT Astra Serif" w:hAnsi="PT Astra Serif" w:eastAsia="PT Astra Serif" w:cs="PT Astra Serif"/>
          <w:color w:val="000000"/>
          <w:sz w:val="24"/>
          <w:szCs w:val="24"/>
          <w:highlight w:val="none"/>
        </w:rPr>
        <w:t xml:space="preserve">;</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color w:val="00000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 </w:t>
      </w:r>
      <w:r>
        <w:rPr>
          <w:rFonts w:ascii="PT Astra Serif" w:hAnsi="PT Astra Serif" w:eastAsia="PT Astra Serif" w:cs="PT Astra Serif"/>
          <w:color w:val="000000"/>
          <w:sz w:val="24"/>
          <w:szCs w:val="24"/>
          <w:highlight w:val="none"/>
        </w:rPr>
        <w:t xml:space="preserve">федерального проекта «Педагоги и наставники», в том числе мероприятия по </w:t>
      </w:r>
      <w:r>
        <w:rPr>
          <w:rFonts w:ascii="PT Astra Serif" w:hAnsi="PT Astra Serif" w:eastAsia="PT Astra Serif" w:cs="PT Astra Serif"/>
          <w:color w:val="000000"/>
          <w:sz w:val="24"/>
          <w:szCs w:val="24"/>
          <w:highlight w:val="none"/>
        </w:rPr>
        <w:t xml:space="preserve">о</w:t>
      </w:r>
      <w:r>
        <w:rPr>
          <w:rFonts w:ascii="PT Astra Serif" w:hAnsi="PT Astra Serif" w:eastAsia="PT Astra Serif" w:cs="PT Astra Serif"/>
          <w:color w:val="000000"/>
          <w:sz w:val="24"/>
          <w:szCs w:val="24"/>
          <w:highlight w:val="none"/>
        </w:rPr>
        <w:t xml:space="preserve">беспечению выплат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муниципальных общеобразовательных организаций, профессиональных образовательных организаци</w:t>
      </w:r>
      <w:r>
        <w:rPr>
          <w:rFonts w:ascii="PT Astra Serif" w:hAnsi="PT Astra Serif" w:eastAsia="PT Astra Serif" w:cs="PT Astra Serif"/>
          <w:color w:val="000000"/>
          <w:sz w:val="24"/>
          <w:szCs w:val="24"/>
          <w:highlight w:val="none"/>
        </w:rPr>
        <w:t xml:space="preserve">й</w:t>
      </w:r>
      <w:r>
        <w:rPr>
          <w:rFonts w:ascii="PT Astra Serif" w:hAnsi="PT Astra Serif" w:eastAsia="PT Astra Serif" w:cs="PT Astra Serif"/>
          <w:color w:val="000000"/>
          <w:sz w:val="24"/>
          <w:szCs w:val="24"/>
          <w:highlight w:val="none"/>
        </w:rPr>
        <w:t xml:space="preserve">; </w:t>
      </w:r>
      <w:r>
        <w:rPr>
          <w:rFonts w:ascii="PT Astra Serif" w:hAnsi="PT Astra Serif" w:eastAsia="PT Astra Serif" w:cs="PT Astra Serif"/>
          <w:color w:val="000000"/>
          <w:sz w:val="24"/>
          <w:szCs w:val="24"/>
          <w:highlight w:val="none"/>
        </w:rPr>
        <w:t xml:space="preserve">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PT Astra Serif" w:hAnsi="PT Astra Serif" w:eastAsia="PT Astra Serif" w:cs="PT Astra Serif"/>
          <w:color w:val="000000"/>
          <w:sz w:val="24"/>
          <w:szCs w:val="24"/>
          <w:highlight w:val="none"/>
        </w:rPr>
        <w:t xml:space="preserve">; </w:t>
      </w:r>
      <w:r>
        <w:rPr>
          <w:rFonts w:ascii="PT Astra Serif" w:hAnsi="PT Astra Serif" w:eastAsia="PT Astra Serif" w:cs="PT Astra Serif"/>
          <w:color w:val="000000"/>
          <w:sz w:val="24"/>
          <w:szCs w:val="24"/>
          <w:highlight w:val="none"/>
        </w:rPr>
        <w:t xml:space="preserve">обеспечение выплат на ежемесячное денежное вознаграждение за классное руководство (кураторство) педагогическим работникам государственных образовательных организаций</w:t>
      </w:r>
      <w:r>
        <w:rPr>
          <w:rFonts w:ascii="PT Astra Serif" w:hAnsi="PT Astra Serif" w:eastAsia="PT Astra Serif" w:cs="PT Astra Serif"/>
          <w:color w:val="000000"/>
          <w:sz w:val="24"/>
          <w:szCs w:val="24"/>
          <w:highlight w:val="none"/>
        </w:rPr>
        <w:t xml:space="preserve">; </w:t>
      </w:r>
      <w:r>
        <w:rPr>
          <w:rFonts w:ascii="PT Astra Serif" w:hAnsi="PT Astra Serif" w:eastAsia="PT Astra Serif" w:cs="PT Astra Serif"/>
          <w:color w:val="000000"/>
          <w:sz w:val="24"/>
          <w:szCs w:val="24"/>
          <w:highlight w:val="none"/>
        </w:rPr>
        <w:t xml:space="preserve">обеспечение выплат на ежемесячное денежное вознаграждение за классное руководство педагогическим работникам государственных образовательных организаций</w:t>
      </w:r>
      <w:r>
        <w:rPr>
          <w:rFonts w:ascii="PT Astra Serif" w:hAnsi="PT Astra Serif" w:eastAsia="PT Astra Serif" w:cs="PT Astra Serif"/>
          <w:color w:val="000000"/>
          <w:sz w:val="24"/>
          <w:szCs w:val="24"/>
          <w:highlight w:val="none"/>
        </w:rPr>
        <w:t xml:space="preserve">;</w:t>
      </w:r>
      <w:r>
        <w:rPr>
          <w:rFonts w:ascii="PT Astra Serif" w:hAnsi="PT Astra Serif" w:cs="PT Astra Serif"/>
          <w:color w:val="000000"/>
          <w:sz w:val="24"/>
          <w:szCs w:val="24"/>
          <w:highlight w:val="none"/>
        </w:rPr>
      </w:r>
      <w:r>
        <w:rPr>
          <w:rFonts w:ascii="PT Astra Serif" w:hAnsi="PT Astra Serif" w:cs="PT Astra Serif"/>
          <w:color w:val="000000"/>
          <w:sz w:val="24"/>
          <w:szCs w:val="24"/>
          <w:highlight w:val="none"/>
        </w:rPr>
      </w:r>
    </w:p>
    <w:p>
      <w:pPr>
        <w:ind w:left="0" w:right="0" w:firstLine="708"/>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sz w:val="24"/>
          <w:szCs w:val="24"/>
          <w:highlight w:val="none"/>
        </w:rPr>
        <w:t xml:space="preserve">- </w:t>
      </w:r>
      <w:r>
        <w:rPr>
          <w:rFonts w:ascii="PT Astra Serif" w:hAnsi="PT Astra Serif" w:eastAsia="PT Astra Serif" w:cs="PT Astra Serif"/>
          <w:color w:val="000000"/>
          <w:sz w:val="24"/>
          <w:szCs w:val="24"/>
          <w:highlight w:val="none"/>
        </w:rPr>
        <w:t xml:space="preserve">федерального проекта «Все лучшее детям», регионального проекта «Все лучшее детям», в том числе мероприятия по </w:t>
      </w:r>
      <w:r>
        <w:rPr>
          <w:rFonts w:ascii="PT Astra Serif" w:hAnsi="PT Astra Serif" w:eastAsia="PT Astra Serif" w:cs="PT Astra Serif"/>
          <w:color w:val="000000"/>
          <w:sz w:val="24"/>
          <w:szCs w:val="24"/>
          <w:highlight w:val="none"/>
        </w:rPr>
        <w:t xml:space="preserve">оснащению предметных кабинетов общеобразовательных организаций оборудованием, средствами обучения и воспитания</w:t>
      </w:r>
      <w:r>
        <w:rPr>
          <w:rFonts w:ascii="PT Astra Serif" w:hAnsi="PT Astra Serif" w:eastAsia="PT Astra Serif" w:cs="PT Astra Serif"/>
          <w:color w:val="000000"/>
          <w:sz w:val="24"/>
          <w:szCs w:val="24"/>
          <w:highlight w:val="none"/>
        </w:rPr>
        <w:t xml:space="preserve">; </w:t>
      </w:r>
      <w:r>
        <w:rPr>
          <w:rFonts w:ascii="PT Astra Serif" w:hAnsi="PT Astra Serif" w:eastAsia="PT Astra Serif" w:cs="PT Astra Serif"/>
          <w:color w:val="000000"/>
          <w:sz w:val="24"/>
          <w:szCs w:val="24"/>
          <w:highlight w:val="none"/>
        </w:rPr>
        <w:t xml:space="preserve">расходы на модернизацию </w:t>
      </w:r>
      <w:r>
        <w:rPr>
          <w:rFonts w:ascii="PT Astra Serif" w:hAnsi="PT Astra Serif" w:eastAsia="PT Astra Serif" w:cs="PT Astra Serif"/>
          <w:color w:val="000000"/>
          <w:sz w:val="24"/>
          <w:szCs w:val="24"/>
          <w:highlight w:val="none"/>
        </w:rPr>
        <w:t xml:space="preserve">инфраструктуры общего образования в отдельных субъектах Российской Федерации</w:t>
      </w:r>
      <w:r>
        <w:rPr>
          <w:rFonts w:ascii="PT Astra Serif" w:hAnsi="PT Astra Serif" w:eastAsia="PT Astra Serif" w:cs="PT Astra Serif"/>
          <w:sz w:val="24"/>
          <w:szCs w:val="24"/>
        </w:rPr>
        <w:t xml:space="preserve"> и </w:t>
      </w:r>
      <w:r>
        <w:rPr>
          <w:rFonts w:ascii="PT Astra Serif" w:hAnsi="PT Astra Serif" w:eastAsia="PT Astra Serif" w:cs="PT Astra Serif"/>
          <w:sz w:val="24"/>
          <w:szCs w:val="24"/>
        </w:rPr>
        <w:t xml:space="preserve">реализацию мероприятий по модернизации школьных систем образования</w:t>
      </w:r>
      <w:r>
        <w:rPr>
          <w:rFonts w:ascii="PT Astra Serif" w:hAnsi="PT Astra Serif" w:eastAsia="PT Astra Serif" w:cs="PT Astra Serif"/>
          <w:sz w:val="24"/>
          <w:szCs w:val="24"/>
        </w:rPr>
        <w:t xml:space="preserve"> (расходы в части капитального ремонта и строительства предусмотрены в бюджетной росписи Департамента строительства Томской области).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708"/>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cs="PT Astra Serif"/>
          <w:sz w:val="24"/>
          <w:szCs w:val="24"/>
          <w:highlight w:val="none"/>
        </w:rPr>
        <w:t xml:space="preserve">Средний процент реализации Департаментом мероприятий, предусмотренных в рамках национальных проектов составил 99</w:t>
      </w:r>
      <w:r>
        <w:rPr>
          <w:rFonts w:ascii="PT Astra Serif" w:hAnsi="PT Astra Serif" w:cs="PT Astra Serif"/>
          <w:sz w:val="24"/>
          <w:szCs w:val="24"/>
          <w:highlight w:val="none"/>
        </w:rPr>
        <w:t xml:space="preserve">,8%. Реализация мероприятий осуществлялась образовательными организациями, находящимися в ведении муниципальных органов управления образованием Томской области, а также учреждениями в отношении которых Департамент выполняет функции и полномочия учредителя.</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54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708"/>
        <w:jc w:val="both"/>
        <w:spacing w:before="0" w:beforeAutospacing="0" w:after="0" w:line="283" w:lineRule="atLeast"/>
        <w:rPr>
          <w:rFonts w:ascii="PT Astra Serif" w:hAnsi="PT Astra Serif" w:cs="PT Astra Serif"/>
          <w:b/>
          <w:bCs/>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sz w:val="24"/>
          <w:szCs w:val="24"/>
          <w:highlight w:val="none"/>
        </w:rPr>
        <w:t xml:space="preserve">Отчет о финансовых результатах деятельности (ф.0503121)</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Отчет (ф.05</w:t>
      </w:r>
      <w:r>
        <w:rPr>
          <w:rFonts w:ascii="PT Astra Serif" w:hAnsi="PT Astra Serif" w:eastAsia="PT Astra Serif" w:cs="PT Astra Serif"/>
          <w:b w:val="0"/>
          <w:bCs w:val="0"/>
          <w:sz w:val="24"/>
          <w:szCs w:val="24"/>
          <w:highlight w:val="none"/>
        </w:rPr>
        <w:t xml:space="preserve">03121) формируется согласно положениям Инструкции 191н и отражает данные о финансовых результатах деятельности Департамента в разрезе кодов КОСГУ, бюджетной деятельности (графа 4) и средств во временном распоряжении (графа 5) по состоянию на отчетную дату.</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Согласно пункту 94 Инструкции 191н показатели Отчета (ф.0503121) формируются без закрытия счетов при завершении финансового года, проведенных 31 декабря отчетного финансового года.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Информация о финансовом результате Департамента раскрывается в Отчете (ф.0503121) по строке 300 «Чистый операционный результат»</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020 отражена информация о начисленных суммах государственных пошлин и сборов, уплаченных получателями услуги по проставлению апостиля и государственной аккредитации образовательной деятельности.</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040 отражен пок</w:t>
      </w:r>
      <w:r>
        <w:rPr>
          <w:rFonts w:ascii="PT Astra Serif" w:hAnsi="PT Astra Serif" w:eastAsia="PT Astra Serif" w:cs="PT Astra Serif"/>
          <w:b w:val="0"/>
          <w:bCs w:val="0"/>
          <w:sz w:val="24"/>
          <w:szCs w:val="24"/>
          <w:highlight w:val="none"/>
        </w:rPr>
        <w:t xml:space="preserve">азатель по признанию доходами текущего года сумм возврата педагогическими работниками задолженности единовременной компенсационной выплаты, полученной ранее в рамках программы «Земский доктор» (возврат осуществляется в связи с нарушением условий договора).</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050 отражена сумма начисления задолженности по уплате штрафных санкций в бюджет за нарушение поставщиком услуги обязательств, предусмотренных в рамках договора (контракта).</w:t>
      </w:r>
      <w:r>
        <w:rPr>
          <w:rFonts w:ascii="PT Astra Serif" w:hAnsi="PT Astra Serif" w:eastAsia="PT Astra Serif" w:cs="PT Astra Serif"/>
          <w:b w:val="0"/>
          <w:bCs w:val="0"/>
          <w:sz w:val="24"/>
          <w:szCs w:val="24"/>
          <w:highlight w:val="none"/>
        </w:rPr>
        <w:t xml:space="preserve"> Также по данной строке отражен показатель признанных доходами отчетного финансового периода сумм административных штрафов, начисленных за несоблюдение физическими лицами положений части 4 статьи 19.30 КоАП РФ.</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060 отражен показатель признания доходами отчетного периода средств межбюджетных трансфертов, полученных Департаментом в рамках соглашений, заключенных с федеральными органами власти (Минпросвещен</w:t>
      </w:r>
      <w:r>
        <w:rPr>
          <w:rFonts w:ascii="PT Astra Serif" w:hAnsi="PT Astra Serif" w:eastAsia="PT Astra Serif" w:cs="PT Astra Serif"/>
          <w:b w:val="0"/>
          <w:bCs w:val="0"/>
          <w:sz w:val="24"/>
          <w:szCs w:val="24"/>
          <w:highlight w:val="none"/>
        </w:rPr>
        <w:t xml:space="preserve">ия России и Минцифра России). Также по данной строке отражены суммы начисленной задолженности по возврату остатка целевой субсидии прошлых лет бюджетными и автономными учреждениями, в отношении которых Департамент выполняет функции и полномочия учредителя.</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170 отражен показатель начисленных расчетов с учредителем (в части учета ОЦДИ), а также сумма отнесения остаточной стоимости объекта основного средства (гараж) на забалансовый счет.</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100 отражена сумма признанных доходов по операционной аренде (Департаментом арендованы гаражные помещения в целях обеспечения сохранности служебных транспортных средств на период ремонта гаража).</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110 отражен показатель полученного Департаментом в отчетном периоде на безвозмездной основе имущества (балансовая стоимость за минусом амортизации).</w:t>
      </w:r>
      <w:r>
        <w:rPr>
          <w:rFonts w:ascii="PT Astra Serif" w:hAnsi="PT Astra Serif" w:eastAsia="PT Astra Serif" w:cs="PT Astra Serif"/>
          <w:b w:val="0"/>
          <w:bCs w:val="0"/>
          <w:sz w:val="24"/>
          <w:szCs w:val="24"/>
          <w:highlight w:val="none"/>
        </w:rPr>
        <w:t xml:space="preserve"> Данный показатель идентичен показателям граф 6 и 9 строк 010, 050 и 070 Сведений (ф.0503168) и Справке (ф.0503125) по счету 1.401.10.195.</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По строке 200 отражен итоговый показатель по начисленным в отчетном периоде Департаментом расходов, в том числе по переданному на безвозмездной основе имуществу (кондиционеры).</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Отчет (ф.0503121) не содержит показатели о</w:t>
      </w:r>
      <w:r>
        <w:rPr>
          <w:rFonts w:ascii="PT Astra Serif" w:hAnsi="PT Astra Serif" w:eastAsia="PT Astra Serif" w:cs="PT Astra Serif"/>
          <w:b w:val="0"/>
          <w:bCs w:val="0"/>
          <w:sz w:val="24"/>
          <w:szCs w:val="24"/>
          <w:highlight w:val="none"/>
        </w:rPr>
        <w:t xml:space="preserve">б изменении доходов, расходов, а также показатели по увеличению активов и обязательств, сформированные при исправлении Департаментом ошибок прошлых лет, выявленных в отчетном периоде и отраженные в корреспонденции со счетами исправления ошибок прошлых лет.</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Департаментом в Отчете (ф.0503121) настоящей бюджетной отчетности отражены показатели признанных в учете доходов и расходов отчетного финансового года в соответствии с КОСГУ.</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t xml:space="preserve">Строки 310-560 Отчета (ф.0503121) не заполняются в связи с положениями приказа Минфина России от 04.08.2025 № 102н.</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540"/>
        <w:jc w:val="both"/>
        <w:spacing w:before="0" w:beforeAutospacing="0" w:after="0" w:line="283" w:lineRule="atLeast"/>
        <w:rPr>
          <w:rFonts w:ascii="PT Astra Serif" w:hAnsi="PT Astra Serif" w:cs="PT Astra Serif"/>
          <w:b w:val="0"/>
          <w:bCs w:val="0"/>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r>
      <w:r>
        <w:rPr>
          <w:rFonts w:ascii="PT Astra Serif" w:hAnsi="PT Astra Serif" w:eastAsia="PT Astra Serif" w:cs="PT Astra Serif"/>
          <w:b/>
          <w:bCs/>
          <w:sz w:val="24"/>
          <w:szCs w:val="24"/>
          <w:highlight w:val="none"/>
        </w:rPr>
        <w:t xml:space="preserve">Отчет о движении денежных средств (ф.0503123)</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Отчет (ф.050123) формируется согласно положениям п.п.146 - 150.3 Инструкции 191н и содержит </w:t>
      </w:r>
      <w:r>
        <w:rPr>
          <w:rFonts w:ascii="PT Astra Serif" w:hAnsi="PT Astra Serif" w:eastAsia="PT Astra Serif" w:cs="PT Astra Serif"/>
          <w:b w:val="0"/>
          <w:bCs w:val="0"/>
          <w:sz w:val="24"/>
          <w:szCs w:val="24"/>
          <w:highlight w:val="none"/>
        </w:rPr>
        <w:t xml:space="preserve">информацию о движении и остатках денежных средств и их эквивалентов</w:t>
      </w:r>
      <w:r>
        <w:rPr>
          <w:rFonts w:ascii="PT Astra Serif" w:hAnsi="PT Astra Serif" w:eastAsia="PT Astra Serif" w:cs="PT Astra Serif"/>
          <w:b w:val="0"/>
          <w:bCs w:val="0"/>
          <w:sz w:val="24"/>
          <w:szCs w:val="24"/>
          <w:highlight w:val="none"/>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Раздел 1 «Поступления»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отчетном финансовом году на лицевой счет Департамента как главного администратора (администратора) доходов бюджета (04) были зачислены денежные средства, поступившие (с учетом возвратов) от:</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 уплаты получателями услуг по государственной аккредитации образовательной деятельности и проставления апостиля (подтверждения документов об образовании и (или) квалификации, об ученых степенях (строка 0302);</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 компенсации затрат, произведенных путем удержания из заработной платы сотрудника (по заявлению водителя) на возмещение в доход бюджета уплаченного Департаментом административного штрафа за нарушение правил дорожного движения (строка 0505);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 штрафных санкций за нарушение законодательства в сфере закупок и нарушений условий контрактов (договоров) (ИП Лячина М.А. в связи с невыполненными обязательствами по контракту на основании требования Департамента от 23.01.2025 № 65-734) (строка 0601);</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 принудительного изъятия, полученного от уплаты административных штрафов в связи с нарушением КоАП при сдаче государственного итогового экзамена, а также п</w:t>
      </w:r>
      <w:r>
        <w:rPr>
          <w:rFonts w:ascii="PT Astra Serif" w:hAnsi="PT Astra Serif" w:eastAsia="PT Astra Serif" w:cs="PT Astra Serif"/>
          <w:b w:val="0"/>
          <w:bCs w:val="0"/>
          <w:sz w:val="24"/>
          <w:szCs w:val="24"/>
          <w:highlight w:val="none"/>
        </w:rPr>
        <w:t xml:space="preserve">роцентов за пользование чужими денежными средствами в связи с невыполнением условий договора, заключенного между Департаментом и педагогическим работником по программе «Земский учитель» (расторжение трудового договора ранее установленного договором срока);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 поступлений текущего характера от других бюджетов бюджетной системы РФ (подкрепление счета при зачислении средств федерального бюджета при осуществлении кассовых расходов на выплату ежемесячного денежного вознагр</w:t>
      </w:r>
      <w:r>
        <w:rPr>
          <w:rFonts w:ascii="PT Astra Serif" w:hAnsi="PT Astra Serif" w:eastAsia="PT Astra Serif" w:cs="PT Astra Serif"/>
          <w:b w:val="0"/>
          <w:bCs w:val="0"/>
          <w:sz w:val="24"/>
          <w:szCs w:val="24"/>
          <w:highlight w:val="none"/>
        </w:rPr>
        <w:t xml:space="preserve">аждения педагогическим работникам за классное руководство и кураторство, заработной платы и доплаты советникам директоров, а также на выполнение обязательств, принятых в рамках иных мероприятий, реализация которых осуществлялась по средствам федерального б</w:t>
      </w:r>
      <w:r>
        <w:rPr>
          <w:rFonts w:ascii="PT Astra Serif" w:hAnsi="PT Astra Serif" w:eastAsia="PT Astra Serif" w:cs="PT Astra Serif"/>
          <w:b w:val="0"/>
          <w:bCs w:val="0"/>
          <w:sz w:val="24"/>
          <w:szCs w:val="24"/>
          <w:highlight w:val="none"/>
        </w:rPr>
        <w:t xml:space="preserve">юджета) (срока 0701). Показатели по возврату дебиторской задолженности прошлых лет в части показателей по доходам от возврата остатков субсидий прошлых лет по счету 1.210.02.000 КДБ 2 18 00000 00 0000 150 по данной строке Отчета (ф.0503123) не учитываются;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Раздел 2 «Выбытия»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Показатели по данному разделу отражают информацию о выплатах по текущим операциям Департамента в отчетном периоде.</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отчетном пер</w:t>
      </w:r>
      <w:r>
        <w:rPr>
          <w:rFonts w:ascii="PT Astra Serif" w:hAnsi="PT Astra Serif" w:eastAsia="PT Astra Serif" w:cs="PT Astra Serif"/>
          <w:b w:val="0"/>
          <w:bCs w:val="0"/>
          <w:sz w:val="24"/>
          <w:szCs w:val="24"/>
          <w:highlight w:val="none"/>
        </w:rPr>
        <w:t xml:space="preserve">иоде Департаментом осуществлялся расход на выплату заработной платы сотрудникам Департамента, перечисления во внебюджетные фонды РФ (страховые взносы), командировочные расходы (суточные, проживание, транспортные расходы), услуги связи, коммунальные услуги,</w:t>
      </w:r>
      <w:r>
        <w:rPr>
          <w:rFonts w:ascii="PT Astra Serif" w:hAnsi="PT Astra Serif" w:eastAsia="PT Astra Serif" w:cs="PT Astra Serif"/>
          <w:b w:val="0"/>
          <w:bCs w:val="0"/>
          <w:sz w:val="24"/>
          <w:szCs w:val="24"/>
          <w:highlight w:val="none"/>
        </w:rPr>
        <w:t xml:space="preserve"> услуги по содержанию имущества Департамента, перечисление средств субсидии на финансовое обеспечение выполнения государственного задания и средств субсидии на иные цели бюджетным и автономным учреждениями в отношении которых Департамент выполняет функции </w:t>
      </w:r>
      <w:r>
        <w:rPr>
          <w:rFonts w:ascii="PT Astra Serif" w:hAnsi="PT Astra Serif" w:eastAsia="PT Astra Serif" w:cs="PT Astra Serif"/>
          <w:b w:val="0"/>
          <w:bCs w:val="0"/>
          <w:sz w:val="24"/>
          <w:szCs w:val="24"/>
          <w:highlight w:val="none"/>
        </w:rPr>
        <w:t xml:space="preserve">и полномочия учредителя, средств субвенции, субсидии </w:t>
      </w:r>
      <w:r>
        <w:rPr>
          <w:rFonts w:ascii="PT Astra Serif" w:hAnsi="PT Astra Serif" w:eastAsia="PT Astra Serif" w:cs="PT Astra Serif"/>
          <w:b w:val="0"/>
          <w:bCs w:val="0"/>
          <w:sz w:val="24"/>
          <w:szCs w:val="24"/>
          <w:highlight w:val="none"/>
        </w:rPr>
        <w:t xml:space="preserve">и иных межбюджетных трансфертов муниципальным органам управления образованием Томской области, приобретение материальных ценностей (основные средства и материальные запасы) и выполнение иных обязательств, принятых Департаментом в течение отчетного периода.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Раздел 3 «Изменение остатков средств»</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данном разделе отражены показатели по операциям с денежными средствами, не отраженные в разделах 1 и 2 Отчета (ф.0503123), в том числе операции по:</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 доходам от возврата дебиторской задолженности прошлых лет (строка 4210) – сумма по</w:t>
      </w:r>
      <w:r>
        <w:rPr>
          <w:rFonts w:ascii="PT Astra Serif" w:hAnsi="PT Astra Serif" w:eastAsia="PT Astra Serif" w:cs="PT Astra Serif"/>
          <w:b w:val="0"/>
          <w:bCs w:val="0"/>
          <w:sz w:val="24"/>
          <w:szCs w:val="24"/>
          <w:highlight w:val="none"/>
        </w:rPr>
        <w:t xml:space="preserve"> КДБ 11302992020000130 КОСГУ 136</w:t>
      </w:r>
      <w:r>
        <w:rPr>
          <w:rFonts w:ascii="PT Astra Serif" w:hAnsi="PT Astra Serif" w:eastAsia="PT Astra Serif" w:cs="PT Astra Serif"/>
          <w:b w:val="0"/>
          <w:bCs w:val="0"/>
          <w:sz w:val="24"/>
          <w:szCs w:val="24"/>
          <w:highlight w:val="none"/>
        </w:rPr>
        <w:t xml:space="preserve"> возврат по требованию Департамента средств получателем (педагогическим работником) по программе «Земский учитель»</w:t>
      </w:r>
      <w:r>
        <w:rPr>
          <w:rFonts w:ascii="PT Astra Serif" w:hAnsi="PT Astra Serif" w:eastAsia="PT Astra Serif" w:cs="PT Astra Serif"/>
          <w:b w:val="0"/>
          <w:bCs w:val="0"/>
          <w:sz w:val="24"/>
          <w:szCs w:val="24"/>
          <w:highlight w:val="none"/>
        </w:rPr>
        <w:t xml:space="preserve"> в связи с невыполнением условий договора (увольнение по сроку ранее, чем предусмотрено условиями договора), а также возврата средств дебиторской задолженности по письму Департамента по завершению действия договора с АО «Томск – РТС»;</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 возврату трансфертов прошлых лет (строка 4220) – сумма перечисление из бюджета Томской области возвратов остатков межбюджетных трансфертов прош</w:t>
      </w:r>
      <w:r>
        <w:rPr>
          <w:rFonts w:ascii="PT Astra Serif" w:hAnsi="PT Astra Serif" w:eastAsia="PT Astra Serif" w:cs="PT Astra Serif"/>
          <w:b w:val="0"/>
          <w:bCs w:val="0"/>
          <w:sz w:val="24"/>
          <w:szCs w:val="24"/>
          <w:highlight w:val="none"/>
        </w:rPr>
        <w:t xml:space="preserve">лых лет за минусом показателей по доходам от возврата остатков межбюджетных трансфертов прошлых лет, от возврата остатков субсидий прошлых лет, предоставленных юридическим лицам (показатели по счетам 1.210.02.000 по КДБ 219 и КДБ 218 КОСГУ  151, 153, 163).</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right"/>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руб.</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bl>
      <w:tblPr>
        <w:tblStyle w:val="762"/>
        <w:tblW w:w="0" w:type="auto"/>
        <w:tblLook w:val="04A0" w:firstRow="1" w:lastRow="0" w:firstColumn="1" w:lastColumn="0" w:noHBand="0" w:noVBand="1"/>
      </w:tblPr>
      <w:tblGrid>
        <w:gridCol w:w="3213"/>
        <w:gridCol w:w="3213"/>
        <w:gridCol w:w="3213"/>
      </w:tblGrid>
      <w:tr>
        <w:tblPrEx/>
        <w:trPr/>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Сумма показателей по КДБ 2190200000000150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Сумма показателей по КДБ 2180200000000150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*Разница между </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КДБ 219 и 218</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1</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3=1-2</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3213" w:type="dxa"/>
            <w:vMerge w:val="restart"/>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10 442 992,35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vMerge w:val="restart"/>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186 442 830,53</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vMerge w:val="restart"/>
            <w:textDirection w:val="lrTb"/>
            <w:noWrap w:val="false"/>
          </w:tcPr>
          <w:p>
            <w:pPr>
              <w:ind w:left="709" w:firstLine="0"/>
              <w:jc w:val="left"/>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- 175 999 838,18</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bl>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 показатель по строке 4220 отражен в отрицательном значении т.к. сумма поступлений от возврата остатков трансфертов (субсидий) прошлых лет превышает сумму перечислений по возврату остатков прошлых лет по межбюджетным трансфертам</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По строке 4400 (строкам 4410, 4420 соответственно) отражена информация по движению средств во временном распоряжении. Данный показатель имеет контрольное значение разницы показателей Сведений (ф.0503178) раздела средства во временном распоряжении: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0"/>
        <w:jc w:val="right"/>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руб.</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bl>
      <w:tblPr>
        <w:tblStyle w:val="762"/>
        <w:tblW w:w="0" w:type="auto"/>
        <w:tblLook w:val="04A0" w:firstRow="1" w:lastRow="0" w:firstColumn="1" w:lastColumn="0" w:noHBand="0" w:noVBand="1"/>
      </w:tblPr>
      <w:tblGrid>
        <w:gridCol w:w="3213"/>
        <w:gridCol w:w="3213"/>
        <w:gridCol w:w="3213"/>
      </w:tblGrid>
      <w:tr>
        <w:tblPrEx/>
        <w:trPr/>
        <w:tc>
          <w:tcPr>
            <w:tcBorders>
              <w:top w:val="single" w:color="000000" w:sz="4" w:space="0"/>
              <w:left w:val="single" w:color="000000" w:sz="4" w:space="0"/>
              <w:bottom w:val="single" w:color="000000" w:sz="4" w:space="0"/>
              <w:right w:val="single" w:color="000000" w:sz="4" w:space="0"/>
            </w:tcBorders>
            <w:tcW w:w="3213" w:type="dxa"/>
            <w:vAlign w:val="center"/>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Остаток на 01.01.2025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vAlign w:val="center"/>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Остаток на 01.01.2026</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vAlign w:val="center"/>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Контроль строки 4400 </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Сведений (ф.0503123)</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1</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3=1-2</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3213" w:type="dxa"/>
            <w:vMerge w:val="restart"/>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183 943,06</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vMerge w:val="restart"/>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230 253,30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3213" w:type="dxa"/>
            <w:vMerge w:val="restart"/>
            <w:textDirection w:val="lrTb"/>
            <w:noWrap w:val="false"/>
          </w:tcPr>
          <w:p>
            <w:pPr>
              <w:jc w:val="center"/>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46 310,24</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bl>
    <w:p>
      <w:pPr>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contextualSpacing w:val="0"/>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suppressLineNumbers w:val="0"/>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val="0"/>
          <w:bCs w:val="0"/>
          <w:sz w:val="24"/>
          <w:szCs w:val="24"/>
          <w:highlight w:val="none"/>
        </w:rPr>
        <w:t xml:space="preserve">По строке 5000 (строкам 5010 и 5020 соответственно) отражены показатели по зачислениям (поступлениям) и перечислениям, отраженным в бюджетной учете Департамента на счетах 1.210.02</w:t>
      </w:r>
      <w:r>
        <w:rPr>
          <w:rFonts w:ascii="PT Astra Serif" w:hAnsi="PT Astra Serif" w:eastAsia="PT Astra Serif" w:cs="PT Astra Serif"/>
          <w:b w:val="0"/>
          <w:bCs w:val="0"/>
          <w:sz w:val="24"/>
          <w:szCs w:val="24"/>
          <w:highlight w:val="none"/>
        </w:rPr>
        <w:t xml:space="preserve">.000, 1.210.03.000, 1.210.04.000, 1.304.05.000, 1.201.00.000 (за исключением 1.201.35.000, 1.201.22.000).</w:t>
      </w:r>
      <w:r>
        <w:rPr>
          <w:rFonts w:ascii="PT Astra Serif" w:hAnsi="PT Astra Serif" w:eastAsia="PT Astra Serif" w:cs="PT Astra Serif"/>
          <w:b w:val="0"/>
          <w:bCs w:val="0"/>
          <w:sz w:val="24"/>
          <w:szCs w:val="24"/>
          <w:highlight w:val="none"/>
        </w:rPr>
        <w:t xml:space="preserve"> </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contextualSpacing w:val="0"/>
        <w:ind w:left="0" w:right="0" w:firstLine="0"/>
        <w:jc w:val="both"/>
        <w:spacing w:before="0" w:beforeAutospacing="0" w:after="0" w:line="283" w:lineRule="atLeast"/>
        <w:tabs>
          <w:tab w:val="left" w:pos="0" w:leader="none"/>
        </w:tabs>
        <w:rPr>
          <w:rFonts w:ascii="PT Astra Serif" w:hAnsi="PT Astra Serif" w:cs="PT Astra Serif"/>
          <w:b w:val="0"/>
          <w:bCs w:val="0"/>
          <w:sz w:val="24"/>
          <w:szCs w:val="24"/>
          <w:highlight w:val="none"/>
        </w:rPr>
        <w:suppressLineNumbers w:val="0"/>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val="0"/>
          <w:bCs w:val="0"/>
          <w:sz w:val="24"/>
          <w:szCs w:val="24"/>
          <w:highlight w:val="none"/>
        </w:rPr>
        <w:t xml:space="preserve">Показатель по строке 5030 имеет нулевое значение, в связи с тем, что в отчетном периоде Департаментом не производился пересчет денежных средств в иностранной валюте.</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Раздел 3.1 «Аналитическая информация по управлению остатками»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Показатели в данном разделе отсутствуют в связи с отсутствием показателей по строкам 4930 и 4940 раздела 3 настоящего отчета.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Раздел 4 «Аналитическая информация по выбытиям»</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В данном разделе Департаментом отражена детализированная информация по выбытиям. Итоговый показатель (строка 9000 раздела 4), а также показатели детализированные КОСГУ идентичны показателям, отраженным по строке 2100 раздела 2 настоящего отчета.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Раздел 1 «Организационная структура субъекта бюджетной отчетности»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t xml:space="preserve">Сведения об организационной структуре субъекта бюджетной отчетности (Таблица № 11) </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Изменения в сведениях об организационной структуре Департамента за отчетный период отсутствуют, в связи с чем Сведения (Таблица № 11) с составе пояснительной записки настоящей бюджетной отчетности не представлена (п.8 Инструкции 191н).</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Раздел 2 «Результаты деятельности субъекта бюджетной отчетности»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b/>
          <w:bCs/>
          <w:sz w:val="24"/>
          <w:szCs w:val="24"/>
          <w:highlight w:val="none"/>
        </w:rPr>
      </w:r>
      <w:r>
        <w:rPr>
          <w:rFonts w:ascii="PT Astra Serif" w:hAnsi="PT Astra Serif" w:eastAsia="PT Astra Serif" w:cs="PT Astra Serif"/>
          <w:sz w:val="24"/>
          <w:szCs w:val="24"/>
          <w:lang w:eastAsia="ru-RU"/>
        </w:rPr>
        <w:t xml:space="preserve">Департам</w:t>
      </w:r>
      <w:r>
        <w:rPr>
          <w:rFonts w:ascii="PT Astra Serif" w:hAnsi="PT Astra Serif" w:eastAsia="PT Astra Serif" w:cs="PT Astra Serif"/>
          <w:sz w:val="24"/>
          <w:szCs w:val="24"/>
          <w:lang w:eastAsia="ru-RU"/>
        </w:rPr>
        <w:t xml:space="preserve">ент является исполнительным органом государственной власти Томской области, входящим в систему исполнительных органов государственной власти Томской области и финансируемым за счет средств областного бюджет</w:t>
      </w:r>
      <w:r>
        <w:rPr>
          <w:rFonts w:ascii="PT Astra Serif" w:hAnsi="PT Astra Serif" w:eastAsia="PT Astra Serif" w:cs="PT Astra Serif"/>
          <w:sz w:val="24"/>
          <w:szCs w:val="24"/>
          <w:lang w:eastAsia="ru-RU"/>
        </w:rPr>
        <w:t xml:space="preserve">а, имеет обособленное имущество, самостоятельный баланс, лицевой счёт в Департаменте финансов Томской области, печать с изображением Государственного герба Российской Федерации, иные печати, штампы, бланки со своим наименованием.</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lang w:eastAsia="ru-RU"/>
        </w:rPr>
        <w:t xml:space="preserve">Обособленных подразделений нет.</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Полное наименование: </w:t>
      </w:r>
      <w:r>
        <w:rPr>
          <w:rFonts w:ascii="PT Astra Serif" w:hAnsi="PT Astra Serif" w:eastAsia="PT Astra Serif" w:cs="PT Astra Serif"/>
          <w:sz w:val="24"/>
          <w:szCs w:val="24"/>
          <w:lang w:eastAsia="ru-RU"/>
        </w:rPr>
        <w:t xml:space="preserve">Департамент образования Т</w:t>
      </w:r>
      <w:r>
        <w:rPr>
          <w:rFonts w:ascii="PT Astra Serif" w:hAnsi="PT Astra Serif" w:eastAsia="PT Astra Serif" w:cs="PT Astra Serif"/>
          <w:sz w:val="24"/>
          <w:szCs w:val="24"/>
          <w:lang w:eastAsia="ru-RU"/>
        </w:rPr>
        <w:t xml:space="preserve">омской области</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Сокращенное наименование: ДОТО </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Юридический почтовый адрес и адрес местонахождения: </w:t>
      </w:r>
      <w:r>
        <w:rPr>
          <w:rFonts w:ascii="PT Astra Serif" w:hAnsi="PT Astra Serif" w:eastAsia="PT Astra Serif" w:cs="PT Astra Serif"/>
          <w:sz w:val="24"/>
          <w:szCs w:val="24"/>
          <w:lang w:eastAsia="ru-RU"/>
        </w:rPr>
        <w:t xml:space="preserve">634029 Томская область г. Томск, пр. Фрунзе, д. 14 (основной корпус). Корпуса расположены по адресам г.Томск, </w:t>
      </w:r>
      <w:r>
        <w:rPr>
          <w:rFonts w:ascii="PT Astra Serif" w:hAnsi="PT Astra Serif" w:eastAsia="PT Astra Serif" w:cs="PT Astra Serif"/>
          <w:sz w:val="24"/>
          <w:szCs w:val="24"/>
          <w:lang w:eastAsia="ru-RU"/>
        </w:rPr>
        <w:t xml:space="preserve">пр.Ленина 111, Батенькова 3, Батенькова 5</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ИНН / КПП 7021019273 / 70170101</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ОКПО 02539418 ОГРН 1027000863670</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Организационно-правовая форма: </w:t>
      </w:r>
      <w:r>
        <w:rPr>
          <w:rFonts w:ascii="PT Astra Serif" w:hAnsi="PT Astra Serif" w:eastAsia="PT Astra Serif" w:cs="PT Astra Serif"/>
          <w:sz w:val="24"/>
          <w:szCs w:val="24"/>
          <w:lang w:eastAsia="ru-RU"/>
        </w:rPr>
        <w:t xml:space="preserve">государственные казенные учреждения субъектов Российской Федерации - (75204);</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Код главы главного распорядителя бюджетных средств – </w:t>
      </w:r>
      <w:r>
        <w:rPr>
          <w:rFonts w:ascii="PT Astra Serif" w:hAnsi="PT Astra Serif" w:eastAsia="PT Astra Serif" w:cs="PT Astra Serif"/>
          <w:sz w:val="24"/>
          <w:szCs w:val="24"/>
          <w:lang w:eastAsia="ru-RU"/>
        </w:rPr>
        <w:t xml:space="preserve">816</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Департамент:</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lang w:eastAsia="ru-RU"/>
        </w:rPr>
        <w:t xml:space="preserve">- действует на основании Положения от 25.08.2014 № 63 «Об утверждении положения о Департамен</w:t>
      </w:r>
      <w:r>
        <w:rPr>
          <w:rFonts w:ascii="PT Astra Serif" w:hAnsi="PT Astra Serif" w:eastAsia="PT Astra Serif" w:cs="PT Astra Serif"/>
          <w:sz w:val="24"/>
          <w:szCs w:val="24"/>
          <w:lang w:eastAsia="ru-RU"/>
        </w:rPr>
        <w:t xml:space="preserve">те образования Томской области», </w:t>
      </w:r>
      <w:r>
        <w:rPr>
          <w:rFonts w:ascii="PT Astra Serif" w:hAnsi="PT Astra Serif" w:eastAsia="PT Astra Serif" w:cs="PT Astra Serif"/>
          <w:sz w:val="24"/>
          <w:szCs w:val="24"/>
          <w:lang w:eastAsia="ru-RU"/>
        </w:rPr>
        <w:t xml:space="preserve">обладает правами юридического лица</w:t>
      </w:r>
      <w:r>
        <w:rPr>
          <w:rFonts w:ascii="PT Astra Serif" w:hAnsi="PT Astra Serif" w:eastAsia="PT Astra Serif" w:cs="PT Astra Serif"/>
          <w:sz w:val="24"/>
          <w:szCs w:val="24"/>
          <w:lang w:eastAsia="ru-RU"/>
        </w:rPr>
        <w:t xml:space="preserve">, выполняет полномочия получателя средств федерального и областного бюджетов, является главным администратором доходов бюджета;</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lang w:eastAsia="ru-RU"/>
        </w:rPr>
        <w:t xml:space="preserve">- наделен полномочиями по администрированию доходов поступающих от уплаты госпошлин за лицензирование, аккредитацию, выдачу </w:t>
      </w:r>
      <w:r>
        <w:rPr>
          <w:rFonts w:ascii="PT Astra Serif" w:hAnsi="PT Astra Serif" w:eastAsia="PT Astra Serif" w:cs="PT Astra Serif"/>
          <w:sz w:val="24"/>
          <w:szCs w:val="24"/>
          <w:lang w:eastAsia="ru-RU"/>
        </w:rPr>
        <w:t xml:space="preserve">апостиля</w:t>
      </w:r>
      <w:r>
        <w:rPr>
          <w:rFonts w:ascii="PT Astra Serif" w:hAnsi="PT Astra Serif" w:eastAsia="PT Astra Serif" w:cs="PT Astra Serif"/>
          <w:sz w:val="24"/>
          <w:szCs w:val="24"/>
          <w:lang w:eastAsia="ru-RU"/>
        </w:rPr>
        <w:t xml:space="preserve">, а также штрафов за нарушение прав в сфере образования.</w:t>
      </w:r>
      <w:r>
        <w:rPr>
          <w:rFonts w:ascii="PT Astra Serif" w:hAnsi="PT Astra Serif" w:eastAsia="PT Astra Serif" w:cs="PT Astra Serif"/>
          <w:sz w:val="24"/>
          <w:szCs w:val="24"/>
          <w:lang w:eastAsia="ru-RU"/>
        </w:rPr>
        <w:t xml:space="preserve"> </w:t>
      </w:r>
      <w:r>
        <w:rPr>
          <w:rFonts w:ascii="PT Astra Serif" w:hAnsi="PT Astra Serif" w:eastAsia="PT Astra Serif" w:cs="PT Astra Serif"/>
          <w:sz w:val="24"/>
          <w:szCs w:val="24"/>
          <w:lang w:eastAsia="ru-RU"/>
        </w:rPr>
        <w:t xml:space="preserve">Код и наименование вида деятельности:</w:t>
      </w:r>
      <w:r>
        <w:rPr>
          <w:rFonts w:ascii="PT Astra Serif" w:hAnsi="PT Astra Serif" w:eastAsia="PT Astra Serif" w:cs="PT Astra Serif"/>
          <w:sz w:val="24"/>
          <w:szCs w:val="24"/>
          <w:lang w:eastAsia="ru-RU"/>
        </w:rPr>
        <w:t xml:space="preserve"> </w:t>
      </w:r>
      <w:r>
        <w:rPr>
          <w:rFonts w:ascii="PT Astra Serif" w:hAnsi="PT Astra Serif" w:eastAsia="PT Astra Serif" w:cs="PT Astra Serif"/>
          <w:sz w:val="24"/>
          <w:szCs w:val="24"/>
          <w:lang w:eastAsia="ru-RU"/>
        </w:rPr>
        <w:t xml:space="preserve">84.11.21 - Де</w:t>
      </w:r>
      <w:r>
        <w:rPr>
          <w:rFonts w:ascii="PT Astra Serif" w:hAnsi="PT Astra Serif" w:eastAsia="PT Astra Serif" w:cs="PT Astra Serif"/>
          <w:sz w:val="24"/>
          <w:szCs w:val="24"/>
          <w:lang w:eastAsia="ru-RU"/>
        </w:rPr>
        <w:t xml:space="preserve">ятельность органов государственной власти субъектов Российской Федерации (республик, краев, областей), кроме судебной власти, представительств исполнительных органов государственной власти субъектов Российской Федерации при Президенте Российской Федерации;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highlight w:val="none"/>
          <w:lang w:eastAsia="ru-RU"/>
        </w:rPr>
        <w:t xml:space="preserve">- </w:t>
      </w:r>
      <w:r>
        <w:rPr>
          <w:rFonts w:ascii="PT Astra Serif" w:hAnsi="PT Astra Serif" w:eastAsia="PT Astra Serif" w:cs="PT Astra Serif"/>
          <w:sz w:val="24"/>
          <w:szCs w:val="24"/>
          <w:lang w:eastAsia="ru-RU"/>
        </w:rPr>
        <w:t xml:space="preserve">является исполнительным органом государственной власти Томской области, входящим в систему исполнительных органов государственной власти Томской области и финансируемым за счет средств областного бюджет</w:t>
      </w:r>
      <w:r>
        <w:rPr>
          <w:rFonts w:ascii="PT Astra Serif" w:hAnsi="PT Astra Serif" w:eastAsia="PT Astra Serif" w:cs="PT Astra Serif"/>
          <w:sz w:val="24"/>
          <w:szCs w:val="24"/>
          <w:lang w:eastAsia="ru-RU"/>
        </w:rPr>
        <w:t xml:space="preserve">а, имеет обособленное имущество, самостоятельный баланс, лицевой счет в Департаменте финансов Томской области, печать с изображением Государственного герба Российской Федерации, иные печати, штампы, бланки со своим наименованием.</w:t>
      </w:r>
      <w:r>
        <w:rPr>
          <w:rFonts w:ascii="PT Astra Serif" w:hAnsi="PT Astra Serif" w:cs="PT Astra Serif"/>
          <w:sz w:val="24"/>
          <w:szCs w:val="24"/>
        </w:rPr>
      </w:r>
      <w:r>
        <w:rPr>
          <w:rFonts w:ascii="PT Astra Serif" w:hAnsi="PT Astra Serif" w:cs="PT Astra Serif"/>
          <w:sz w:val="24"/>
          <w:szCs w:val="24"/>
        </w:rPr>
      </w:r>
    </w:p>
    <w:p>
      <w:pPr>
        <w:ind w:firstLine="708"/>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Обособленных подразделений нет.</w:t>
      </w:r>
      <w:r>
        <w:rPr>
          <w:rFonts w:ascii="PT Astra Serif" w:hAnsi="PT Astra Serif" w:cs="PT Astra Serif"/>
          <w:sz w:val="24"/>
          <w:szCs w:val="24"/>
        </w:rPr>
      </w:r>
      <w:r>
        <w:rPr>
          <w:rFonts w:ascii="PT Astra Serif" w:hAnsi="PT Astra Serif" w:cs="PT Astra Serif"/>
          <w:sz w:val="24"/>
          <w:szCs w:val="24"/>
        </w:rPr>
      </w:r>
    </w:p>
    <w:p>
      <w:pPr>
        <w:ind w:firstLine="709"/>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Целями деятельности Департамента являю</w:t>
      </w:r>
      <w:r>
        <w:rPr>
          <w:rFonts w:ascii="PT Astra Serif" w:hAnsi="PT Astra Serif" w:eastAsia="PT Astra Serif" w:cs="PT Astra Serif"/>
          <w:sz w:val="24"/>
          <w:szCs w:val="24"/>
          <w:lang w:eastAsia="ru-RU"/>
        </w:rPr>
        <w:t xml:space="preserve">тся</w:t>
      </w:r>
      <w:r>
        <w:rPr>
          <w:rFonts w:ascii="PT Astra Serif" w:hAnsi="PT Astra Serif" w:eastAsia="PT Astra Serif" w:cs="PT Astra Serif"/>
          <w:sz w:val="24"/>
          <w:szCs w:val="24"/>
          <w:lang w:eastAsia="ru-RU"/>
        </w:rPr>
        <w:t xml:space="preserve">:</w:t>
      </w:r>
      <w:r>
        <w:rPr>
          <w:rFonts w:ascii="PT Astra Serif" w:hAnsi="PT Astra Serif" w:cs="PT Astra Serif"/>
          <w:sz w:val="24"/>
          <w:szCs w:val="24"/>
        </w:rPr>
      </w:r>
      <w:r>
        <w:rPr>
          <w:rFonts w:ascii="PT Astra Serif" w:hAnsi="PT Astra Serif" w:cs="PT Astra Serif"/>
          <w:sz w:val="24"/>
          <w:szCs w:val="24"/>
        </w:rPr>
      </w:r>
    </w:p>
    <w:p>
      <w:pPr>
        <w:ind w:firstLine="709"/>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1) доступное качественное дошкольное, начальное общее, основное общее, среднее общее образование в соответствии с федеральными государственными образовательными стандартами и дополнительное образование детей;</w:t>
      </w:r>
      <w:r>
        <w:rPr>
          <w:rFonts w:ascii="PT Astra Serif" w:hAnsi="PT Astra Serif" w:cs="PT Astra Serif"/>
          <w:sz w:val="24"/>
          <w:szCs w:val="24"/>
        </w:rPr>
      </w:r>
      <w:r>
        <w:rPr>
          <w:rFonts w:ascii="PT Astra Serif" w:hAnsi="PT Astra Serif" w:cs="PT Astra Serif"/>
          <w:sz w:val="24"/>
          <w:szCs w:val="24"/>
        </w:rPr>
      </w:r>
    </w:p>
    <w:p>
      <w:pPr>
        <w:ind w:firstLine="709"/>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2)</w:t>
      </w:r>
      <w:r>
        <w:rPr>
          <w:rFonts w:ascii="PT Astra Serif" w:hAnsi="PT Astra Serif" w:eastAsia="PT Astra Serif" w:cs="PT Astra Serif"/>
          <w:sz w:val="24"/>
          <w:szCs w:val="24"/>
          <w:lang w:eastAsia="ru-RU"/>
        </w:rPr>
        <w:t xml:space="preserve"> обеспечение экономики Томской области квалифицированными рабочими и служащими, а также специалистами среднего звена.</w:t>
      </w:r>
      <w:r>
        <w:rPr>
          <w:rFonts w:ascii="PT Astra Serif" w:hAnsi="PT Astra Serif" w:cs="PT Astra Serif"/>
          <w:sz w:val="24"/>
          <w:szCs w:val="24"/>
        </w:rPr>
      </w:r>
      <w:r>
        <w:rPr>
          <w:rFonts w:ascii="PT Astra Serif" w:hAnsi="PT Astra Serif" w:cs="PT Astra Serif"/>
          <w:sz w:val="24"/>
          <w:szCs w:val="24"/>
        </w:rPr>
      </w:r>
    </w:p>
    <w:p>
      <w:pPr>
        <w:ind w:firstLine="709"/>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lang w:eastAsia="ru-RU"/>
        </w:rPr>
        <w:t xml:space="preserve">Задачами деятельности Департамента являются</w:t>
      </w:r>
      <w:r>
        <w:rPr>
          <w:rFonts w:ascii="PT Astra Serif" w:hAnsi="PT Astra Serif" w:eastAsia="PT Astra Serif" w:cs="PT Astra Serif"/>
          <w:sz w:val="24"/>
          <w:szCs w:val="24"/>
          <w:lang w:eastAsia="ru-RU"/>
        </w:rPr>
        <w:t xml:space="preserve">:</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9"/>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1) обеспечение получе</w:t>
      </w:r>
      <w:r>
        <w:rPr>
          <w:rFonts w:ascii="PT Astra Serif" w:hAnsi="PT Astra Serif" w:eastAsia="PT Astra Serif" w:cs="PT Astra Serif"/>
          <w:sz w:val="24"/>
          <w:szCs w:val="24"/>
          <w:lang w:eastAsia="ru-RU"/>
        </w:rPr>
        <w:t xml:space="preserve">ния дошкольного, начального общего, основного общего, среднего общего образования, создание условий для дополнительного образования детей, содействию развитию системы общего образования и дополнительного образования детей, в том числе кадрового потенциала;</w:t>
      </w:r>
      <w:r>
        <w:rPr>
          <w:rFonts w:ascii="PT Astra Serif" w:hAnsi="PT Astra Serif" w:cs="PT Astra Serif"/>
          <w:sz w:val="24"/>
          <w:szCs w:val="24"/>
        </w:rPr>
      </w:r>
      <w:r>
        <w:rPr>
          <w:rFonts w:ascii="PT Astra Serif" w:hAnsi="PT Astra Serif" w:cs="PT Astra Serif"/>
          <w:sz w:val="24"/>
          <w:szCs w:val="24"/>
        </w:rPr>
      </w:r>
    </w:p>
    <w:p>
      <w:pPr>
        <w:ind w:firstLine="709"/>
        <w:jc w:val="both"/>
        <w:spacing w:before="0" w:beforeAutospacing="0" w:after="0" w:line="283" w:lineRule="atLeast"/>
        <w:rPr>
          <w:rFonts w:ascii="PT Astra Serif" w:hAnsi="PT Astra Serif" w:cs="PT Astra Serif"/>
          <w:sz w:val="24"/>
          <w:szCs w:val="24"/>
        </w:rPr>
      </w:pPr>
      <w:r>
        <w:rPr>
          <w:rFonts w:ascii="PT Astra Serif" w:hAnsi="PT Astra Serif" w:eastAsia="PT Astra Serif" w:cs="PT Astra Serif"/>
          <w:sz w:val="24"/>
          <w:szCs w:val="24"/>
          <w:lang w:eastAsia="ru-RU"/>
        </w:rPr>
        <w:t xml:space="preserve">2)</w:t>
      </w:r>
      <w:r>
        <w:rPr>
          <w:rFonts w:ascii="PT Astra Serif" w:hAnsi="PT Astra Serif" w:eastAsia="PT Astra Serif" w:cs="PT Astra Serif"/>
          <w:sz w:val="24"/>
          <w:szCs w:val="24"/>
          <w:lang w:eastAsia="ru-RU"/>
        </w:rPr>
        <w:t xml:space="preserve"> организация предоставления на территории Томской области среднего профессионального образования, дополнительного профессионального образован</w:t>
      </w:r>
      <w:r>
        <w:rPr>
          <w:rFonts w:ascii="PT Astra Serif" w:hAnsi="PT Astra Serif" w:eastAsia="PT Astra Serif" w:cs="PT Astra Serif"/>
          <w:sz w:val="24"/>
          <w:szCs w:val="24"/>
          <w:lang w:eastAsia="ru-RU"/>
        </w:rPr>
        <w:t xml:space="preserve">ия, профессионального обучения;</w:t>
      </w:r>
      <w:r>
        <w:rPr>
          <w:rFonts w:ascii="PT Astra Serif" w:hAnsi="PT Astra Serif" w:cs="PT Astra Serif"/>
          <w:sz w:val="24"/>
          <w:szCs w:val="24"/>
        </w:rPr>
      </w:r>
      <w:r>
        <w:rPr>
          <w:rFonts w:ascii="PT Astra Serif" w:hAnsi="PT Astra Serif" w:cs="PT Astra Serif"/>
          <w:sz w:val="24"/>
          <w:szCs w:val="24"/>
        </w:rPr>
      </w:r>
    </w:p>
    <w:p>
      <w:pPr>
        <w:ind w:firstLine="709"/>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lang w:eastAsia="ru-RU"/>
        </w:rPr>
        <w:t xml:space="preserve">3) осуществление переданных полномочий органам государственной власти субъектов Российской Федерации в соответствии с частью 1 статьи 7 Федерального закона от</w:t>
      </w:r>
      <w:r>
        <w:rPr>
          <w:rFonts w:ascii="PT Astra Serif" w:hAnsi="PT Astra Serif" w:eastAsia="PT Astra Serif" w:cs="PT Astra Serif"/>
          <w:sz w:val="24"/>
          <w:szCs w:val="24"/>
          <w:lang w:eastAsia="ru-RU"/>
        </w:rPr>
        <w:t xml:space="preserve"> 29 декабря 2012 года № 273-ФЗ «Об образовании в Российской Федерации» и пунктом 5 статьи 6.3 Федерального закона от 23 августа 1996 года № 127-ФЗ «О науке и государственной научно-технической политике» полномочий Российской Федерации в сфере образования.</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708"/>
        <w:jc w:val="both"/>
        <w:spacing w:before="0" w:beforeAutospacing="0" w:after="0" w:line="283" w:lineRule="atLeast"/>
        <w:rPr>
          <w:rFonts w:ascii="PT Astra Serif" w:hAnsi="PT Astra Serif" w:eastAsia="PT Astra Serif" w:cs="PT Astra Serif"/>
          <w:b/>
          <w:bCs/>
          <w:sz w:val="24"/>
          <w:szCs w:val="24"/>
          <w:highlight w:val="none"/>
        </w:rPr>
      </w:pPr>
      <w:r>
        <w:rPr>
          <w:rFonts w:ascii="PT Astra Serif" w:hAnsi="PT Astra Serif" w:eastAsia="PT Astra Serif" w:cs="PT Astra Serif"/>
          <w:b/>
          <w:bCs/>
          <w:sz w:val="24"/>
          <w:szCs w:val="24"/>
          <w:highlight w:val="none"/>
        </w:rPr>
      </w:r>
      <w:r>
        <w:rPr>
          <w:rFonts w:ascii="PT Astra Serif" w:hAnsi="PT Astra Serif" w:eastAsia="PT Astra Serif" w:cs="PT Astra Serif"/>
          <w:b/>
          <w:bCs/>
          <w:sz w:val="24"/>
          <w:szCs w:val="24"/>
          <w:highlight w:val="white"/>
        </w:rPr>
        <w:t xml:space="preserve">Сведения о результатах деятельности субъекта бюджетной отчетности (Таблица № 12)</w:t>
      </w:r>
      <w:r>
        <w:rPr>
          <w:rFonts w:ascii="PT Astra Serif" w:hAnsi="PT Astra Serif" w:eastAsia="PT Astra Serif" w:cs="PT Astra Serif"/>
          <w:b/>
          <w:bCs/>
          <w:sz w:val="24"/>
          <w:szCs w:val="24"/>
          <w:highlight w:val="none"/>
        </w:rPr>
      </w:r>
      <w:r>
        <w:rPr>
          <w:rFonts w:ascii="PT Astra Serif" w:hAnsi="PT Astra Serif" w:eastAsia="PT Astra Serif" w:cs="PT Astra Serif"/>
          <w:b/>
          <w:bCs/>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В Сведениях (Таблица № 12) Департаментом отражены данные о балансовой и остаточной стоимости временно неэксплуатируемых (неиспользуемых) объектов основных средств и иная информация об имуществе учреждения, предусмотренная строками 011-012_2 отчетной формы.</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b w:val="0"/>
          <w:bCs w:val="0"/>
          <w:sz w:val="24"/>
          <w:szCs w:val="24"/>
          <w:highlight w:val="none"/>
        </w:rPr>
        <w:tab/>
        <w:t xml:space="preserve">Одним из временно неиспользуемых Департаментом объектов является гаражное помещение, полученное на безвозмездной основе в 2025 году от Департамента по развитию села Томской области. </w:t>
      </w:r>
      <w:r>
        <w:rPr>
          <w:rFonts w:ascii="PT Astra Serif" w:hAnsi="PT Astra Serif" w:eastAsia="PT Astra Serif" w:cs="PT Astra Serif"/>
          <w:b w:val="0"/>
          <w:bCs w:val="0"/>
          <w:sz w:val="24"/>
          <w:szCs w:val="24"/>
          <w:highlight w:val="none"/>
        </w:rPr>
        <w:t xml:space="preserve">В связи с </w:t>
      </w:r>
      <w:r>
        <w:rPr>
          <w:rFonts w:ascii="PT Astra Serif" w:hAnsi="PT Astra Serif" w:eastAsia="PT Astra Serif" w:cs="PT Astra Serif"/>
          <w:sz w:val="24"/>
          <w:szCs w:val="24"/>
          <w:highlight w:val="none"/>
        </w:rPr>
        <w:t xml:space="preserve">необходимостью проведения в </w:t>
      </w:r>
      <w:r>
        <w:rPr>
          <w:rFonts w:ascii="PT Astra Serif" w:hAnsi="PT Astra Serif" w:eastAsia="PT Astra Serif" w:cs="PT Astra Serif"/>
          <w:sz w:val="24"/>
          <w:szCs w:val="24"/>
          <w:highlight w:val="none"/>
        </w:rPr>
        <w:t xml:space="preserve">гаражном</w:t>
      </w:r>
      <w:r>
        <w:rPr>
          <w:rFonts w:ascii="PT Astra Serif" w:hAnsi="PT Astra Serif" w:eastAsia="PT Astra Serif" w:cs="PT Astra Serif"/>
          <w:sz w:val="24"/>
          <w:szCs w:val="24"/>
          <w:highlight w:val="none"/>
        </w:rPr>
        <w:t xml:space="preserve"> помещении текущего ремонта (замена око</w:t>
      </w:r>
      <w:r>
        <w:rPr>
          <w:rFonts w:ascii="PT Astra Serif" w:hAnsi="PT Astra Serif" w:eastAsia="PT Astra Serif" w:cs="PT Astra Serif"/>
          <w:sz w:val="24"/>
          <w:szCs w:val="24"/>
          <w:highlight w:val="none"/>
        </w:rPr>
        <w:t xml:space="preserve">н, ворот, ремонт крыши и частично стен, тепловых труб и светильников), а также установки охранной сигнализации, эксплуатация по его назначению (стоянка служебных автомобилей Департамента) временно невозможна.</w:t>
      </w:r>
      <w:r>
        <w:rPr>
          <w:rFonts w:ascii="PT Astra Serif" w:hAnsi="PT Astra Serif" w:eastAsia="PT Astra Serif" w:cs="PT Astra Serif"/>
          <w:sz w:val="24"/>
          <w:szCs w:val="24"/>
          <w:highlight w:val="none"/>
        </w:rPr>
        <w:t xml:space="preserve"> </w:t>
      </w:r>
      <w:r>
        <w:rPr>
          <w:rFonts w:ascii="PT Astra Serif" w:hAnsi="PT Astra Serif" w:eastAsia="PT Astra Serif" w:cs="PT Astra Serif"/>
          <w:sz w:val="24"/>
          <w:szCs w:val="24"/>
          <w:highlight w:val="none"/>
        </w:rPr>
        <w:t xml:space="preserve">Департаментом принята дорожн</w:t>
      </w:r>
      <w:r>
        <w:rPr>
          <w:rFonts w:ascii="PT Astra Serif" w:hAnsi="PT Astra Serif" w:eastAsia="PT Astra Serif" w:cs="PT Astra Serif"/>
          <w:sz w:val="24"/>
          <w:szCs w:val="24"/>
          <w:highlight w:val="none"/>
        </w:rPr>
        <w:t xml:space="preserve">ая карта плана мероприятий по текущему ремонту гаражного помещения по срокам 2026 год.</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0"/>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ab/>
      </w:r>
      <w:r>
        <w:rPr>
          <w:rFonts w:ascii="PT Astra Serif" w:hAnsi="PT Astra Serif" w:eastAsia="PT Astra Serif" w:cs="PT Astra Serif"/>
          <w:sz w:val="24"/>
          <w:szCs w:val="24"/>
          <w:highlight w:val="none"/>
        </w:rPr>
        <w:t xml:space="preserve">В св</w:t>
      </w:r>
      <w:r>
        <w:rPr>
          <w:rFonts w:ascii="PT Astra Serif" w:hAnsi="PT Astra Serif" w:eastAsia="PT Astra Serif" w:cs="PT Astra Serif"/>
          <w:sz w:val="24"/>
          <w:szCs w:val="24"/>
          <w:highlight w:val="none"/>
        </w:rPr>
        <w:t xml:space="preserve">язи отсутствием возможности эксплуатации по назначению нежилого помещения – гараж (на период проведения ремонта) комиссией по поступлению и выбытию активов Департамента принято решения об отнесении его в состав </w:t>
      </w:r>
      <w:r>
        <w:rPr>
          <w:rFonts w:ascii="PT Astra Serif" w:hAnsi="PT Astra Serif" w:eastAsia="PT Astra Serif" w:cs="PT Astra Serif"/>
          <w:sz w:val="24"/>
          <w:szCs w:val="24"/>
          <w:highlight w:val="none"/>
        </w:rPr>
        <w:t xml:space="preserve">забалансового</w:t>
      </w:r>
      <w:r>
        <w:rPr>
          <w:rFonts w:ascii="PT Astra Serif" w:hAnsi="PT Astra Serif" w:eastAsia="PT Astra Serif" w:cs="PT Astra Serif"/>
          <w:sz w:val="24"/>
          <w:szCs w:val="24"/>
          <w:highlight w:val="none"/>
        </w:rPr>
        <w:t xml:space="preserve"> учета (02 «Материальные ценности на хранении»)</w:t>
      </w:r>
      <w:r>
        <w:rPr>
          <w:rFonts w:ascii="PT Astra Serif" w:hAnsi="PT Astra Serif" w:eastAsia="PT Astra Serif" w:cs="PT Astra Serif"/>
          <w:sz w:val="24"/>
          <w:szCs w:val="24"/>
          <w:highlight w:val="none"/>
        </w:rPr>
        <w:t xml:space="preserve">.</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0"/>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Раздел 3 «Анализ отчета об исполнении бюджета субъектом бюджетной отчетности»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bCs/>
          <w:sz w:val="24"/>
          <w:szCs w:val="24"/>
          <w:highlight w:val="none"/>
        </w:rPr>
        <w:t xml:space="preserve">Сведения об исполнении текстовых статей закона (решения) о бюджете </w:t>
        <w:br/>
        <w:t xml:space="preserve">(Таблица № 3)</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Таблица № 3 формируется в соответствии с положениями пункта 155 Инструкции 191н и характеризует результаты а</w:t>
      </w:r>
      <w:r>
        <w:rPr>
          <w:rFonts w:ascii="PT Astra Serif" w:hAnsi="PT Astra Serif" w:eastAsia="PT Astra Serif" w:cs="PT Astra Serif"/>
          <w:b w:val="0"/>
          <w:bCs w:val="0"/>
          <w:sz w:val="24"/>
          <w:szCs w:val="24"/>
          <w:highlight w:val="none"/>
        </w:rPr>
        <w:t xml:space="preserve">нализа исполнения текстовых статей закона (решения) о бюджете имеющих отношение к деятельности Департамента, в целях раскрытия информации о результатах использования бюджетных ассигнований отчетного финансового года главными распорядителями средств бюджета</w:t>
      </w:r>
      <w:r>
        <w:rPr>
          <w:rFonts w:ascii="PT Astra Serif" w:hAnsi="PT Astra Serif" w:eastAsia="PT Astra Serif" w:cs="PT Astra Serif"/>
          <w:b w:val="0"/>
          <w:bCs w:val="0"/>
          <w:sz w:val="24"/>
          <w:szCs w:val="24"/>
          <w:highlight w:val="none"/>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связи с тем, что Таблица № 3 формируется главными распорядителями средств бюджета, Департаментом отчетная форма в составе настоящей бюджетной отчетности не представлена.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yellow"/>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yellow"/>
        </w:rPr>
      </w:r>
      <w:r>
        <w:rPr>
          <w:rFonts w:ascii="PT Astra Serif" w:hAnsi="PT Astra Serif" w:cs="PT Astra Serif"/>
          <w:b w:val="0"/>
          <w:bCs w:val="0"/>
          <w:sz w:val="24"/>
          <w:szCs w:val="24"/>
          <w:highlight w:val="yellow"/>
        </w:rPr>
      </w:r>
    </w:p>
    <w:p>
      <w:pPr>
        <w:ind w:firstLine="708"/>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t xml:space="preserve">Сведения об исполнении бюджета (ф.0503164)</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Сведения (ф.0503164) формируются согласно положениям пункта 163 и содержат  обобщенные за отчетный период данные о результатах исполнения бюджета Департаментом.</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Сведения (ф.0503164) сформированы на основании Отчета (ф.0503127) настоящей годовой отчетности. </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Раздел 1 «Доходы бюджета» сформирован на основании плановых (прогнозных)</w:t>
      </w:r>
      <w:r>
        <w:rPr>
          <w:rFonts w:ascii="PT Astra Serif" w:hAnsi="PT Astra Serif" w:eastAsia="PT Astra Serif" w:cs="PT Astra Serif"/>
          <w:b w:val="0"/>
          <w:bCs w:val="0"/>
          <w:sz w:val="24"/>
          <w:szCs w:val="24"/>
          <w:highlight w:val="none"/>
        </w:rPr>
        <w:t xml:space="preserve"> показателей, установленных Департаменту на текущий финансовый год с учетом изменений на отчетную дату показателей и содержит обобщенные данные по исполнению Департаментом доходной части бюджета, в том числе по показателям, не содержащим плановые значения.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Раздел 2 «Расходы бюджета» отражает показатели бюджетной росписи Департамента, а также показатели исполнение по которым на отчетную дату составило менее 95% от плановых показателей с учетом изменений на отчетную дату.</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Причины по которым исполнение плановых показателей по итогам завершения отчетного периода составило менее 95% указаны в графе «Причины отклонений от планового процента» Сведений (ф.0503164).</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val="0"/>
          <w:bCs w:val="0"/>
          <w:sz w:val="24"/>
          <w:szCs w:val="24"/>
          <w:highlight w:val="yellow"/>
        </w:rPr>
      </w:pPr>
      <w:r>
        <w:rPr>
          <w:rFonts w:ascii="PT Astra Serif" w:hAnsi="PT Astra Serif" w:eastAsia="PT Astra Serif" w:cs="PT Astra Serif"/>
          <w:b w:val="0"/>
          <w:bCs w:val="0"/>
          <w:sz w:val="24"/>
          <w:szCs w:val="24"/>
          <w:highlight w:val="yellow"/>
        </w:rPr>
      </w:r>
      <w:r>
        <w:rPr>
          <w:rFonts w:ascii="PT Astra Serif" w:hAnsi="PT Astra Serif" w:cs="PT Astra Serif"/>
          <w:b w:val="0"/>
          <w:bCs w:val="0"/>
          <w:sz w:val="24"/>
          <w:szCs w:val="24"/>
          <w:highlight w:val="yellow"/>
        </w:rPr>
      </w:r>
      <w:r>
        <w:rPr>
          <w:rFonts w:ascii="PT Astra Serif" w:hAnsi="PT Astra Serif" w:cs="PT Astra Serif"/>
          <w:b w:val="0"/>
          <w:bCs w:val="0"/>
          <w:sz w:val="24"/>
          <w:szCs w:val="24"/>
          <w:highlight w:val="yellow"/>
        </w:rPr>
      </w:r>
    </w:p>
    <w:p>
      <w:pPr>
        <w:shd w:val="nil" w:color="auto"/>
        <w:rPr>
          <w:rFonts w:ascii="PT Astra Serif" w:hAnsi="PT Astra Serif" w:eastAsia="PT Astra Serif" w:cs="PT Astra Serif"/>
          <w:b w:val="0"/>
          <w:bCs w:val="0"/>
          <w:sz w:val="24"/>
          <w:szCs w:val="24"/>
          <w:highlight w:val="none"/>
        </w:rPr>
      </w:pPr>
      <w:r>
        <w:rPr>
          <w:rFonts w:ascii="PT Astra Serif" w:hAnsi="PT Astra Serif" w:eastAsia="PT Astra Serif" w:cs="PT Astra Serif"/>
          <w:b w:val="0"/>
          <w:bCs w:val="0"/>
          <w:sz w:val="24"/>
          <w:szCs w:val="24"/>
          <w:highlight w:val="none"/>
        </w:rPr>
        <w:br w:type="page" w:clear="all"/>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firstLine="0"/>
        <w:jc w:val="center"/>
        <w:spacing w:before="0" w:beforeAutospacing="0" w:after="0" w:line="283" w:lineRule="atLeast"/>
        <w:rPr>
          <w:rFonts w:ascii="PT Astra Serif" w:hAnsi="PT Astra Serif" w:eastAsia="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Контроль итоговых строк Сведений (ф.0503164) и Отчета (ф.0503127)</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ind w:firstLine="0"/>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bl>
      <w:tblPr>
        <w:tblStyle w:val="762"/>
        <w:tblW w:w="0" w:type="auto"/>
        <w:tblLayout w:type="fixed"/>
        <w:tblLook w:val="04A0" w:firstRow="1" w:lastRow="0" w:firstColumn="1" w:lastColumn="0" w:noHBand="0" w:noVBand="1"/>
      </w:tblPr>
      <w:tblGrid>
        <w:gridCol w:w="1842"/>
        <w:gridCol w:w="2977"/>
        <w:gridCol w:w="2410"/>
        <w:gridCol w:w="2410"/>
      </w:tblGrid>
      <w:tr>
        <w:tblPrEx/>
        <w:trPr/>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Код строки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977"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Сведения (ф.0503164)</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Отчет (ф.0503127)</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отклонения</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gridSpan w:val="4"/>
            <w:tcBorders>
              <w:top w:val="single" w:color="000000" w:sz="4" w:space="0"/>
              <w:left w:val="single" w:color="000000" w:sz="4" w:space="0"/>
              <w:bottom w:val="single" w:color="000000" w:sz="4" w:space="0"/>
              <w:right w:val="single" w:color="000000" w:sz="4" w:space="0"/>
            </w:tcBorders>
            <w:tcW w:w="9639"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Плановые показатели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010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977"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2 145 045 015,15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2 145 045 015,15</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0,00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1842"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977"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30 573 045 092,87</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30 573 045 092,87</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0,00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1842"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450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977"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gridSpan w:val="4"/>
            <w:tcBorders>
              <w:top w:val="single" w:color="000000" w:sz="4" w:space="0"/>
              <w:left w:val="single" w:color="000000" w:sz="4" w:space="0"/>
              <w:bottom w:val="single" w:color="000000" w:sz="4" w:space="0"/>
              <w:right w:val="single" w:color="000000" w:sz="4" w:space="0"/>
            </w:tcBorders>
            <w:tcW w:w="9639"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Исполнение</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1842"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010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977"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2 134 495 595,90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2 134 495 595,90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0,00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1842"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977"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30 515 801 353,39</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30 515 801 353,39</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0,00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1842"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450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977" w:type="dxa"/>
            <w:vMerge w:val="restart"/>
            <w:textDirection w:val="lrTb"/>
            <w:noWrap w:val="false"/>
          </w:tcPr>
          <w:p>
            <w:pPr>
              <w:ind w:left="0" w:right="0" w:firstLine="0"/>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-28 381 305 757,49</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-28 381 305 757,49</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c>
          <w:tcPr>
            <w:tcBorders>
              <w:top w:val="single" w:color="000000" w:sz="4" w:space="0"/>
              <w:left w:val="single" w:color="000000" w:sz="4" w:space="0"/>
              <w:bottom w:val="single" w:color="000000" w:sz="4" w:space="0"/>
              <w:right w:val="single" w:color="000000" w:sz="4" w:space="0"/>
            </w:tcBorders>
            <w:tcW w:w="2410" w:type="dxa"/>
            <w:vMerge w:val="restart"/>
            <w:textDirection w:val="lrTb"/>
            <w:noWrap w:val="false"/>
          </w:tcPr>
          <w:p>
            <w:pPr>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0,00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bl>
    <w:p>
      <w:pPr>
        <w:ind w:left="0" w:right="0" w:firstLine="540"/>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firstLine="708"/>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sz w:val="24"/>
          <w:szCs w:val="24"/>
          <w:highlight w:val="none"/>
        </w:rPr>
      </w:r>
      <w:r>
        <w:rPr>
          <w:rFonts w:ascii="PT Astra Serif" w:hAnsi="PT Astra Serif" w:eastAsia="PT Astra Serif" w:cs="PT Astra Serif"/>
          <w:b/>
          <w:bCs/>
          <w:sz w:val="24"/>
          <w:szCs w:val="24"/>
          <w:highlight w:val="none"/>
        </w:rPr>
        <w:t xml:space="preserve">Сведения об исполнении мероприятий в рамках федеральных целевых программ (ф.0503166)</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Сведения (ф.0503166) формируются согласно положениям п.164 Инструкции 191н и содержат обобщенные данны о результатах федеральных целевых программ, предусмотренных в рамках государственных программ РФ, а также феде</w:t>
      </w:r>
      <w:r>
        <w:rPr>
          <w:rFonts w:ascii="PT Astra Serif" w:hAnsi="PT Astra Serif" w:eastAsia="PT Astra Serif" w:cs="PT Astra Serif"/>
          <w:b w:val="0"/>
          <w:bCs w:val="0"/>
          <w:sz w:val="24"/>
          <w:szCs w:val="24"/>
          <w:highlight w:val="none"/>
        </w:rPr>
        <w:t xml:space="preserve">ральных целевых программ в рамках непрограммных направлений деятельности федеральных государственных органов, с указанием причин неисполнения уточненной бюджетной росписи за отчетный период. Приложение оформляется получателями средств федерального бюджета.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связи с тем, что Департамент не является </w:t>
      </w:r>
      <w:r>
        <w:rPr>
          <w:rFonts w:ascii="PT Astra Serif" w:hAnsi="PT Astra Serif" w:eastAsia="PT Astra Serif" w:cs="PT Astra Serif"/>
          <w:b w:val="0"/>
          <w:bCs w:val="0"/>
          <w:sz w:val="24"/>
          <w:szCs w:val="24"/>
          <w:highlight w:val="none"/>
        </w:rPr>
        <w:t xml:space="preserve">федеральным государствен</w:t>
      </w:r>
      <w:r>
        <w:rPr>
          <w:rFonts w:ascii="PT Astra Serif" w:hAnsi="PT Astra Serif" w:eastAsia="PT Astra Serif" w:cs="PT Astra Serif"/>
          <w:b w:val="0"/>
          <w:bCs w:val="0"/>
          <w:sz w:val="24"/>
          <w:szCs w:val="24"/>
          <w:highlight w:val="none"/>
        </w:rPr>
        <w:t xml:space="preserve">ным органом не участвует в реализации федеральных целевых программ, предусмотренных в рамках государственных программ РФ, Сведения (ф.0503166) имеют нулевые показатели и согласно п.8 Инструкции 191н в составе настоящей бюджетной отчетности не представлены.</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val="0"/>
          <w:bCs w:val="0"/>
          <w:sz w:val="24"/>
          <w:szCs w:val="24"/>
          <w:highlight w:val="none"/>
        </w:rPr>
        <w:t xml:space="preserve">Информация о мероприятиях, реализация которых осуществлялась Департаментом в отчетном периоде в рамках национальных (региональных) проектов, изложена в пояснениях к Отчету (ф.0503128-НП) настоящей пояснительной записки.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yellow"/>
        </w:rPr>
      </w:pPr>
      <w:r>
        <w:rPr>
          <w:rFonts w:ascii="PT Astra Serif" w:hAnsi="PT Astra Serif" w:eastAsia="PT Astra Serif" w:cs="PT Astra Serif"/>
          <w:b w:val="0"/>
          <w:bCs w:val="0"/>
          <w:sz w:val="24"/>
          <w:szCs w:val="24"/>
          <w:highlight w:val="yellow"/>
        </w:rPr>
      </w:r>
      <w:r>
        <w:rPr>
          <w:rFonts w:ascii="PT Astra Serif" w:hAnsi="PT Astra Serif" w:cs="PT Astra Serif"/>
          <w:b w:val="0"/>
          <w:bCs w:val="0"/>
          <w:sz w:val="24"/>
          <w:szCs w:val="24"/>
          <w:highlight w:val="yellow"/>
        </w:rPr>
      </w:r>
      <w:r>
        <w:rPr>
          <w:rFonts w:ascii="PT Astra Serif" w:hAnsi="PT Astra Serif" w:cs="PT Astra Serif"/>
          <w:b w:val="0"/>
          <w:bCs w:val="0"/>
          <w:sz w:val="24"/>
          <w:szCs w:val="24"/>
          <w:highlight w:val="yellow"/>
        </w:rPr>
      </w:r>
    </w:p>
    <w:p>
      <w:pPr>
        <w:ind w:firstLine="708"/>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eastAsia="PT Astra Serif" w:cs="PT Astra Serif"/>
          <w:b/>
          <w:bCs/>
          <w:sz w:val="24"/>
          <w:szCs w:val="24"/>
          <w:highlight w:val="none"/>
        </w:rPr>
        <w:t xml:space="preserve">Сведения о целевых иностранных кредитах (ф.0503167)</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Сведения формируются в соответствии с пунктом 165 Инструкции 191н и содержат обобщенные за отчетный период данные о целях и финансовых результатах использования целевых иностранных кредитов в соответствии с Программой государственных внешних заимствований.</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связи с тем, что деятельность Департамента не регламентирована разрешением использования целевых иностранных кредитов, показатель в Сведениях (ф.0503167) имеют нулевые значения, в связи с чем </w:t>
      </w:r>
      <w:r>
        <w:rPr>
          <w:rFonts w:ascii="PT Astra Serif" w:hAnsi="PT Astra Serif" w:eastAsia="PT Astra Serif" w:cs="PT Astra Serif"/>
          <w:b w:val="0"/>
          <w:bCs w:val="0"/>
          <w:sz w:val="24"/>
          <w:szCs w:val="24"/>
          <w:highlight w:val="none"/>
        </w:rPr>
        <w:t xml:space="preserve">согласно п.8 Инструкции 191н </w:t>
      </w:r>
      <w:r>
        <w:rPr>
          <w:rFonts w:ascii="PT Astra Serif" w:hAnsi="PT Astra Serif" w:eastAsia="PT Astra Serif" w:cs="PT Astra Serif"/>
          <w:b w:val="0"/>
          <w:bCs w:val="0"/>
          <w:sz w:val="24"/>
          <w:szCs w:val="24"/>
          <w:highlight w:val="none"/>
        </w:rPr>
        <w:t xml:space="preserve">отчетная форма не представлена Департаментом в составе настоящей годовой отчетности.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0"/>
        <w:jc w:val="both"/>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b/>
          <w:bCs/>
          <w:sz w:val="24"/>
          <w:szCs w:val="24"/>
          <w:highlight w:val="none"/>
        </w:rPr>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sz w:val="24"/>
          <w:szCs w:val="24"/>
          <w:highlight w:val="none"/>
        </w:rPr>
        <w:t xml:space="preserve">Раздел 4 </w:t>
      </w:r>
      <w:r>
        <w:rPr>
          <w:rFonts w:ascii="PT Astra Serif" w:hAnsi="PT Astra Serif" w:cs="PT Astra Serif"/>
          <w:sz w:val="24"/>
          <w:szCs w:val="24"/>
          <w:highlight w:val="none"/>
        </w:rPr>
      </w:r>
      <w:r>
        <w:rPr>
          <w:rFonts w:ascii="PT Astra Serif" w:hAnsi="PT Astra Serif" w:cs="PT Astra Serif"/>
          <w:sz w:val="24"/>
          <w:szCs w:val="24"/>
          <w:highlight w:val="none"/>
        </w:rPr>
      </w:r>
    </w:p>
    <w:p>
      <w:pPr>
        <w:jc w:val="center"/>
        <w:spacing w:before="0" w:beforeAutospacing="0" w:after="0" w:line="283" w:lineRule="atLeast"/>
        <w:rPr>
          <w:rFonts w:ascii="PT Astra Serif" w:hAnsi="PT Astra Serif" w:cs="PT Astra Serif"/>
          <w:b/>
          <w:bCs/>
          <w:sz w:val="24"/>
          <w:szCs w:val="24"/>
          <w:highlight w:val="none"/>
        </w:rPr>
      </w:pPr>
      <w:r>
        <w:rPr>
          <w:rFonts w:ascii="PT Astra Serif" w:hAnsi="PT Astra Serif" w:eastAsia="PT Astra Serif" w:cs="PT Astra Serif"/>
          <w:sz w:val="24"/>
          <w:szCs w:val="24"/>
          <w:highlight w:val="none"/>
        </w:rPr>
        <w:t xml:space="preserve">«Анализ показателей бухгалтерской отчетности субъекта бюджетной отчетности»</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pStyle w:val="914"/>
        <w:jc w:val="cente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r>
      <w:r>
        <w:rPr>
          <w:rFonts w:ascii="PT Astra Serif" w:hAnsi="PT Astra Serif" w:cs="PT Astra Serif"/>
          <w:sz w:val="24"/>
          <w:szCs w:val="24"/>
          <w:highlight w:val="none"/>
        </w:rPr>
      </w:r>
      <w:r>
        <w:rPr>
          <w:rFonts w:ascii="PT Astra Serif" w:hAnsi="PT Astra Serif" w:cs="PT Astra Serif"/>
          <w:sz w:val="24"/>
          <w:szCs w:val="24"/>
          <w:highlight w:val="none"/>
        </w:rPr>
      </w:r>
    </w:p>
    <w:p>
      <w:pPr>
        <w:pStyle w:val="914"/>
        <w:jc w:val="both"/>
        <w:spacing w:before="0" w:beforeAutospacing="0" w:after="0" w:afterAutospacing="0" w:line="283" w:lineRule="atLeast"/>
        <w:rPr>
          <w:rFonts w:ascii="PT Astra Serif" w:hAnsi="PT Astra Serif" w:cs="PT Astra Serif"/>
          <w:b/>
          <w:bCs/>
          <w:sz w:val="24"/>
          <w:szCs w:val="24"/>
          <w:highlight w:val="none"/>
        </w:rPr>
      </w:pPr>
      <w:r>
        <w:rPr>
          <w:rFonts w:ascii="PT Astra Serif" w:hAnsi="PT Astra Serif" w:eastAsia="PT Astra Serif" w:cs="PT Astra Serif"/>
          <w:sz w:val="24"/>
          <w:szCs w:val="24"/>
          <w:highlight w:val="none"/>
        </w:rPr>
        <w:tab/>
      </w:r>
      <w:r>
        <w:rPr>
          <w:rFonts w:ascii="PT Astra Serif" w:hAnsi="PT Astra Serif" w:eastAsia="PT Astra Serif" w:cs="PT Astra Serif"/>
          <w:b/>
          <w:bCs/>
          <w:sz w:val="24"/>
          <w:szCs w:val="24"/>
          <w:highlight w:val="none"/>
        </w:rPr>
        <w:t xml:space="preserve">Сведения о формировании и использовании резерва Фонда пенсионного и социального страхования Российской Федерации по обязательному пенсионному страхованию (Таблица № 8)</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pStyle w:val="914"/>
        <w:jc w:val="both"/>
        <w:spacing w:before="0" w:beforeAutospacing="0" w:after="0" w:afterAutospacing="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В Таблице № 8 согласно положениям пункта 159.1 Инструкции 191н раскрывается информация об операциях, связанных с формированием и исполнением резерва СФР по обязательному пенсионному страхованию на основании управленческого учета и бюджетного учета.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pStyle w:val="914"/>
        <w:jc w:val="both"/>
        <w:spacing w:before="0" w:beforeAutospacing="0" w:after="0" w:afterAutospacing="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связи с тем, что Таблица № 8 формируется  Фондом пенсионного и социального страхования РФ, Таблица № 8 в составе настоящей годовой бюджетной отчетности Департаментом не представлена.</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pStyle w:val="914"/>
        <w:jc w:val="both"/>
        <w:spacing w:before="0" w:beforeAutospacing="0" w:after="0" w:afterAutospacing="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left="0" w:right="0" w:firstLine="708"/>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highlight w:val="none"/>
          <w:u w:val="none"/>
        </w:rPr>
        <w:t xml:space="preserve">Сведения</w:t>
      </w:r>
      <w:r>
        <w:rPr>
          <w:rFonts w:ascii="PT Astra Serif" w:hAnsi="PT Astra Serif" w:eastAsia="PT Astra Serif" w:cs="PT Astra Serif"/>
          <w:b/>
          <w:bCs/>
          <w:color w:val="000000" w:themeColor="text1"/>
          <w:sz w:val="24"/>
          <w:szCs w:val="24"/>
          <w:highlight w:val="none"/>
        </w:rPr>
        <w:t xml:space="preserve"> о формировании и использовании выплатного резерва Фонда пенсионного и социального страхования Российской Федерации (Таблица № 9)</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ab/>
        <w:t xml:space="preserve">Таблица № 9 формируется согласно положениям пункта 159.2 Инструкции 191н </w:t>
      </w:r>
      <w:r>
        <w:rPr>
          <w:rFonts w:ascii="PT Astra Serif" w:hAnsi="PT Astra Serif" w:eastAsia="PT Astra Serif" w:cs="PT Astra Serif"/>
          <w:b w:val="0"/>
          <w:bCs w:val="0"/>
          <w:color w:val="000000" w:themeColor="text1"/>
          <w:sz w:val="24"/>
          <w:szCs w:val="24"/>
          <w:highlight w:val="none"/>
        </w:rPr>
        <w:t xml:space="preserve">и раскрывает информацию об операциях, связанных с формированием и использованием средств выплатного резерва СФР.</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0"/>
        <w:jc w:val="both"/>
        <w:spacing w:before="0" w:beforeAutospacing="0" w:after="0" w:line="283" w:lineRule="atLeast"/>
        <w:tabs>
          <w:tab w:val="left" w:pos="0" w:leader="none"/>
        </w:tabs>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ab/>
        <w:t xml:space="preserve">В связи с тем, что Таблица № 9 согласно положениям Инструкции 191н формируется Фондом социального страхования РФ, Департаментом в составе настоящей годовой бюджетной отчетности не представлены.</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540"/>
        <w:jc w:val="both"/>
        <w:spacing w:before="0" w:beforeAutospacing="0" w:after="0" w:line="283" w:lineRule="atLeast"/>
        <w:tabs>
          <w:tab w:val="left" w:pos="506" w:leader="none"/>
        </w:tabs>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color w:val="000000" w:themeColor="text1"/>
          <w:sz w:val="24"/>
          <w:szCs w:val="24"/>
          <w:highlight w:val="none"/>
        </w:rPr>
        <w:br/>
        <w:tab/>
        <w:tab/>
      </w:r>
      <w:r>
        <w:rPr>
          <w:rFonts w:ascii="PT Astra Serif" w:hAnsi="PT Astra Serif" w:eastAsia="PT Astra Serif" w:cs="PT Astra Serif"/>
          <w:b/>
          <w:bCs/>
          <w:color w:val="000000" w:themeColor="text1"/>
          <w:sz w:val="24"/>
          <w:szCs w:val="24"/>
          <w:highlight w:val="none"/>
          <w:u w:val="none"/>
        </w:rPr>
        <w:t xml:space="preserve">Сведения</w:t>
      </w:r>
      <w:r>
        <w:rPr>
          <w:rFonts w:ascii="PT Astra Serif" w:hAnsi="PT Astra Serif" w:eastAsia="PT Astra Serif" w:cs="PT Astra Serif"/>
          <w:b/>
          <w:bCs/>
          <w:color w:val="000000" w:themeColor="text1"/>
          <w:sz w:val="24"/>
          <w:szCs w:val="24"/>
          <w:highlight w:val="none"/>
        </w:rPr>
        <w:t xml:space="preserve"> о формировании и использовании средств пенсионных накоплений застрахованных лиц, которым установлена срочная пенсионная выплата (Таблица № 10)</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0"/>
        <w:jc w:val="both"/>
        <w:spacing w:before="0" w:beforeAutospacing="0" w:after="0" w:line="283" w:lineRule="atLeast"/>
        <w:tabs>
          <w:tab w:val="left" w:pos="506" w:leader="none"/>
        </w:tabs>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ab/>
        <w:tab/>
        <w:t xml:space="preserve">Таблица № 10 формируется согласно положениям пункта 159.3 Инструкции № 191н и раскрывает информацию об операциях, связанных с формированием и использованием средств пенсионных накоплений, по которым установлена срочная выплата.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0"/>
        <w:jc w:val="both"/>
        <w:spacing w:before="0" w:beforeAutospacing="0" w:after="0" w:line="283" w:lineRule="atLeast"/>
        <w:tabs>
          <w:tab w:val="left" w:pos="506" w:leader="none"/>
        </w:tabs>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ab/>
        <w:tab/>
      </w:r>
      <w:r>
        <w:rPr>
          <w:rFonts w:ascii="PT Astra Serif" w:hAnsi="PT Astra Serif" w:eastAsia="PT Astra Serif" w:cs="PT Astra Serif"/>
          <w:b w:val="0"/>
          <w:bCs w:val="0"/>
          <w:color w:val="000000" w:themeColor="text1"/>
          <w:sz w:val="24"/>
          <w:szCs w:val="24"/>
          <w:highlight w:val="none"/>
        </w:rPr>
        <w:t xml:space="preserve">В связи с тем, что Таблица № 10 согласно положениям Инструкции 191н формируется Фондом социального страхования РФ, Департаментом в составе настоящей годовой бюджетной отчетности не представлены.</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708" w:right="0" w:firstLine="0"/>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708" w:right="0" w:firstLine="0"/>
        <w:jc w:val="both"/>
        <w:spacing w:before="0" w:beforeAutospacing="0" w:after="0" w:line="283" w:lineRule="atLeast"/>
        <w:rPr>
          <w:rFonts w:ascii="PT Astra Serif" w:hAnsi="PT Astra Serif" w:eastAsia="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u w:val="none"/>
        </w:rPr>
        <w:t xml:space="preserve">Сведения</w:t>
      </w:r>
      <w:r>
        <w:rPr>
          <w:rFonts w:ascii="PT Astra Serif" w:hAnsi="PT Astra Serif" w:eastAsia="PT Astra Serif" w:cs="PT Astra Serif"/>
          <w:b/>
          <w:bCs/>
          <w:color w:val="000000" w:themeColor="text1"/>
          <w:sz w:val="24"/>
          <w:szCs w:val="24"/>
        </w:rPr>
        <w:t xml:space="preserve"> о движении нефинансовых активов (ф. 0503168)</w:t>
      </w:r>
      <w:r>
        <w:rPr>
          <w:rFonts w:ascii="PT Astra Serif" w:hAnsi="PT Astra Serif" w:eastAsia="PT Astra Serif" w:cs="PT Astra Serif"/>
          <w:b/>
          <w:bCs/>
          <w:color w:val="000000" w:themeColor="text1"/>
          <w:sz w:val="24"/>
          <w:szCs w:val="24"/>
          <w:highlight w:val="none"/>
        </w:rPr>
      </w:r>
      <w:r>
        <w:rPr>
          <w:rFonts w:ascii="PT Astra Serif" w:hAnsi="PT Astra Serif" w:eastAsia="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Сведения (ф.0503168) формируются согласно положениям пункта 166 Инструкции 191н и содержат обобщенные данные за отчетный период о движении нефинансовых активов Департамента.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Показатели в графах 5</w:t>
      </w:r>
      <w:r>
        <w:rPr>
          <w:rFonts w:ascii="PT Astra Serif" w:hAnsi="PT Astra Serif" w:eastAsia="PT Astra Serif" w:cs="PT Astra Serif"/>
          <w:b w:val="0"/>
          <w:bCs w:val="0"/>
          <w:color w:val="000000" w:themeColor="text1"/>
          <w:sz w:val="24"/>
          <w:szCs w:val="24"/>
          <w:highlight w:val="none"/>
        </w:rPr>
        <w:t xml:space="preserve">-10 Сведений (ф.0503168) не включают показатели изменений нефинансовых активов, сформированные при исправлении ошибок прошлых лет, выявленных Департаментом в отчетном периоде, в корреспонденции со счетами, предназначенными для отражения ошибок прошлых лет.</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В отчетном периоде Департаментом были полученным материальные ценности от Департам</w:t>
      </w:r>
      <w:r>
        <w:rPr>
          <w:rFonts w:ascii="PT Astra Serif" w:hAnsi="PT Astra Serif" w:eastAsia="PT Astra Serif" w:cs="PT Astra Serif"/>
          <w:b w:val="0"/>
          <w:bCs w:val="0"/>
          <w:color w:val="000000" w:themeColor="text1"/>
          <w:sz w:val="24"/>
          <w:szCs w:val="24"/>
          <w:highlight w:val="none"/>
        </w:rPr>
        <w:t xml:space="preserve">ента развитию села Томской области (гараж), бюджетных учреждений, в отношении которых Департамент выполняет функции и полномочия учредителя (предметы мебели и иные материальные ценности), ОГУ «Центр по охране и использованию памятников истории и культуры» </w:t>
      </w:r>
      <w:r>
        <w:rPr>
          <w:rFonts w:ascii="PT Astra Serif" w:hAnsi="PT Astra Serif" w:eastAsia="PT Astra Serif" w:cs="PT Astra Serif"/>
          <w:b w:val="0"/>
          <w:bCs w:val="0"/>
          <w:color w:val="000000" w:themeColor="text1"/>
          <w:sz w:val="24"/>
          <w:szCs w:val="24"/>
          <w:highlight w:val="none"/>
        </w:rPr>
        <w:t xml:space="preserve">(кондиционеры). Информация о стоимостной оценке полученных Департаментом материальных ценностей с детализацией по контрагентам и аналитическим счетам представлена в Справке (ф.0503125) настоящей бюджетной отчетности (1.401.10.195 межведомственные расчеты).</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Кроме того, в отчетном периоде Департаментом переданы материальные ценности (кондиционеры) Департаменту государственного заказа Томской области и Департаменту тарифного р</w:t>
      </w:r>
      <w:r>
        <w:rPr>
          <w:rFonts w:ascii="PT Astra Serif" w:hAnsi="PT Astra Serif" w:eastAsia="PT Astra Serif" w:cs="PT Astra Serif"/>
          <w:b w:val="0"/>
          <w:bCs w:val="0"/>
          <w:color w:val="000000" w:themeColor="text1"/>
          <w:sz w:val="24"/>
          <w:szCs w:val="24"/>
          <w:highlight w:val="none"/>
        </w:rPr>
        <w:t xml:space="preserve">егулирования Томской области в связи с отсутствием возможности демонтажа в освобождаемых помещениях по адресу пр. Кирова 41 (Комитет по контролю, надзору и лицензированию в сфере образования в отчетном периоде переехал в помещения по адресу Батенькова 3). </w:t>
      </w:r>
      <w:r>
        <w:rPr>
          <w:rFonts w:ascii="PT Astra Serif" w:hAnsi="PT Astra Serif" w:eastAsia="PT Astra Serif" w:cs="PT Astra Serif"/>
          <w:b w:val="0"/>
          <w:bCs w:val="0"/>
          <w:color w:val="000000" w:themeColor="text1"/>
          <w:sz w:val="24"/>
          <w:szCs w:val="24"/>
          <w:highlight w:val="none"/>
        </w:rPr>
        <w:t xml:space="preserve">Информация о стоимостной оценке полученных Департаментом материальных ценностей с детализацией по контрагентам и аналитическим счетам представлена в Справке (ф.0503125) настоящей бюджетной отчетности (1.401.20.281).</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rPr>
        <w:pBdr>
          <w:top w:val="none" w:color="000000" w:sz="4" w:space="0"/>
          <w:left w:val="none" w:color="000000" w:sz="4" w:space="0"/>
          <w:bottom w:val="none" w:color="000000" w:sz="4" w:space="0"/>
          <w:right w:val="none" w:color="000000" w:sz="4" w:space="0"/>
        </w:pBdr>
      </w:pP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rPr>
      </w:r>
      <w:r>
        <w:rPr>
          <w:rFonts w:ascii="PT Astra Serif" w:hAnsi="PT Astra Serif" w:cs="PT Astra Serif"/>
          <w:b w:val="0"/>
          <w:bCs w:val="0"/>
          <w:color w:val="000000" w:themeColor="text1"/>
          <w:sz w:val="24"/>
          <w:szCs w:val="24"/>
        </w:rPr>
      </w:r>
    </w:p>
    <w:p>
      <w:pPr>
        <w:ind w:left="0" w:right="0" w:firstLine="708"/>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u w:val="none"/>
        </w:rPr>
        <w:t xml:space="preserve">Сведения</w:t>
      </w:r>
      <w:r>
        <w:rPr>
          <w:rFonts w:ascii="PT Astra Serif" w:hAnsi="PT Astra Serif" w:eastAsia="PT Astra Serif" w:cs="PT Astra Serif"/>
          <w:b/>
          <w:bCs/>
          <w:color w:val="000000" w:themeColor="text1"/>
          <w:sz w:val="24"/>
          <w:szCs w:val="24"/>
        </w:rPr>
        <w:t xml:space="preserve"> по дебиторской и кредиторской задолженности (ф. 0503169)</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Сведения (ф.0503169) формируются согласно положениям Инструкции 191н и содержат обобщенные за отчетный период данные о состоянии расчетов по дебиторской и кредиторской задолженности Департамента в разрезе видов расчетов.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По состоянию на отчетную дату сумма дебиторской задолженности составила </w:t>
        <w:br/>
        <w:t xml:space="preserve">6 532 359 724,25 руб., в том числе: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shd w:val="nil" w:color="auto"/>
        <w:rPr>
          <w:rFonts w:ascii="PT Astra Serif" w:hAnsi="PT Astra Serif" w:cs="PT Astra Serif"/>
          <w:b w:val="0"/>
          <w:bCs w:val="0"/>
          <w:color w:val="000000" w:themeColor="text1"/>
          <w:sz w:val="24"/>
          <w:szCs w:val="24"/>
          <w:highlight w:val="none"/>
        </w:rPr>
      </w:pPr>
      <w:r>
        <w:rPr>
          <w:rFonts w:ascii="PT Astra Serif" w:hAnsi="PT Astra Serif" w:cs="PT Astra Serif"/>
          <w:b w:val="0"/>
          <w:bCs w:val="0"/>
          <w:color w:val="000000" w:themeColor="text1"/>
          <w:sz w:val="24"/>
          <w:szCs w:val="24"/>
          <w:highlight w:val="none"/>
        </w:rPr>
        <w:br w:type="page" w:clear="all"/>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bl>
      <w:tblPr>
        <w:tblStyle w:val="762"/>
        <w:tblW w:w="0" w:type="auto"/>
        <w:tblLayout w:type="fixed"/>
        <w:tblLook w:val="04A0" w:firstRow="1" w:lastRow="0" w:firstColumn="1" w:lastColumn="0" w:noHBand="0" w:noVBand="1"/>
      </w:tblPr>
      <w:tblGrid>
        <w:gridCol w:w="2268"/>
        <w:gridCol w:w="2126"/>
        <w:gridCol w:w="5246"/>
      </w:tblGrid>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Номер счета бюджетного учета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Сумма, руб.</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Примечание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gridSpan w:val="3"/>
            <w:tcBorders>
              <w:top w:val="single" w:color="000000" w:sz="4" w:space="0"/>
              <w:left w:val="single" w:color="000000" w:sz="4" w:space="0"/>
              <w:bottom w:val="single" w:color="000000" w:sz="4" w:space="0"/>
              <w:right w:val="single" w:color="000000" w:sz="4" w:space="0"/>
            </w:tcBorders>
            <w:tcW w:w="9639"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Доходы</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1.205.45.000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6 000,00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физических лиц по </w:t>
              <w:br/>
              <w:t xml:space="preserve">административным штрафам, предусмотренным </w:t>
            </w:r>
            <w:r>
              <w:rPr>
                <w:rFonts w:ascii="PT Astra Serif" w:hAnsi="PT Astra Serif" w:eastAsia="PT Astra Serif" w:cs="PT Astra Serif"/>
                <w:b w:val="0"/>
                <w:bCs w:val="0"/>
                <w:color w:val="000000" w:themeColor="text1"/>
                <w:sz w:val="24"/>
                <w:szCs w:val="24"/>
                <w:highlight w:val="none"/>
              </w:rPr>
              <w:t xml:space="preserve"> частью 4 статьи 19.30 КоАП</w:t>
            </w:r>
            <w:r>
              <w:rPr>
                <w:rFonts w:ascii="PT Astra Serif" w:hAnsi="PT Astra Serif" w:eastAsia="PT Astra Serif" w:cs="PT Astra Serif"/>
                <w:b w:val="0"/>
                <w:bCs w:val="0"/>
                <w:color w:val="000000" w:themeColor="text1"/>
                <w:sz w:val="24"/>
                <w:szCs w:val="24"/>
                <w:highlight w:val="none"/>
              </w:rPr>
              <w:t xml:space="preserve">, в том числе: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3 000,00 руб. (Батищев З.К.) постановление КДН Октябрьского района г.Томска от 11.10.2023 № 38/3 </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3 000,00 руб. (Щепеткин А.А.) на основании протокола КДН</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КДБ 202 1.205.51.000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6 214 322 500,00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по расчетам в рамках соглашений, заключ</w:t>
            </w:r>
            <w:r>
              <w:rPr>
                <w:rFonts w:ascii="PT Astra Serif" w:hAnsi="PT Astra Serif" w:eastAsia="PT Astra Serif" w:cs="PT Astra Serif"/>
                <w:b w:val="0"/>
                <w:bCs w:val="0"/>
                <w:color w:val="000000" w:themeColor="text1"/>
                <w:sz w:val="24"/>
                <w:szCs w:val="24"/>
                <w:highlight w:val="none"/>
              </w:rPr>
              <w:t xml:space="preserve">енных между Администрацией Томской области и ГРБС федерального бюджета  (Минпросвещения России и Минцифры России) на выполнение в 2026 - 2028 годах мероприятий, реализация которых осуществляется Департаментом по средствам федерального бюджета, в том числе: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266 173 600,00 руб. – выплата заработной планы советникам директоров;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52 510 000,00 руб. – компенсационная выплата по программе «Земский учитель»;</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1 870 660 000,00 руб. – обеспечение горячим питанием учащихся начальной школы общеобразовательных учреждений;</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271 945 700,00 руб. – обеспечение </w:t>
            </w:r>
            <w:r>
              <w:rPr>
                <w:rFonts w:ascii="PT Astra Serif" w:hAnsi="PT Astra Serif" w:eastAsia="PT Astra Serif" w:cs="PT Astra Serif"/>
                <w:b w:val="0"/>
                <w:bCs w:val="0"/>
                <w:color w:val="000000" w:themeColor="text1"/>
                <w:sz w:val="24"/>
                <w:szCs w:val="24"/>
                <w:highlight w:val="none"/>
                <w:lang w:val="en-US"/>
              </w:rPr>
              <w:t xml:space="preserve">IT</w:t>
            </w:r>
            <w:r>
              <w:rPr>
                <w:rFonts w:ascii="PT Astra Serif" w:hAnsi="PT Astra Serif" w:eastAsia="PT Astra Serif" w:cs="PT Astra Serif"/>
                <w:b w:val="0"/>
                <w:bCs w:val="0"/>
                <w:color w:val="000000" w:themeColor="text1"/>
                <w:sz w:val="24"/>
                <w:szCs w:val="24"/>
                <w:highlight w:val="none"/>
                <w:lang w:val="ru-RU"/>
              </w:rPr>
              <w:t xml:space="preserve"> – технологиями образовательные учреждения;</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28 004 900,00 руб. – оснащение предметных кабинетов;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118 513 900,00 руб. – выплата ежемесячного денежного вознаграждения советникам директоров;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3 255 674 700,00 руб. – ежемесячное денежное вознаграждение педагогическим работникам за классное руководство;</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350 839 700,00 руб. – выплата педагогическим работникам за кураторство</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КДБ 218</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1.205.51.000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94 463 920,09</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по возврату муниципальными органами управления образованием  остатка средств в областной бюджет, образовавшегося по состоянию на 01.01.2026</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возврат средств осуществляется муниципальными органами управления образованием в течение первых 15 рабочих дней года, следующих за отчетным</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КДБ 218</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1.205.53.000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67 755 326,34</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по расчетам бюджетных учреждений по переходящему остатку средств целевой субсидии (текущий характер) учредителю</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по итогам решения учредителям переходящий остаток планируется к подтверждению для расходования в текущем периоде или при отсутствии подтверждающих принятые обязательства на возврат в бюджет</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КДБ 202</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1.205.61.000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134 934 100,00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задолженность по расчетам в рамках согл</w:t>
            </w:r>
            <w:r>
              <w:rPr>
                <w:rFonts w:ascii="PT Astra Serif" w:hAnsi="PT Astra Serif" w:eastAsia="PT Astra Serif" w:cs="PT Astra Serif"/>
                <w:b w:val="0"/>
                <w:bCs w:val="0"/>
                <w:color w:val="000000" w:themeColor="text1"/>
                <w:sz w:val="24"/>
                <w:szCs w:val="24"/>
                <w:highlight w:val="none"/>
              </w:rPr>
              <w:t xml:space="preserve">ашений, заключенных между Администрацией Томской области Минцифры России на выполнение в 2026 - 2028 годах мероприятий, реализация которых осуществляется Департаментом по средствам федерального бюджета (приобретение планшетов)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КДБ 218</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1.205.63.000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12 598 398,00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по расчетам бюджетных учреждений по переходящему остатку средств целевой субсидии (капитальный характер) учредителю </w:t>
            </w:r>
            <w:r>
              <w:rPr>
                <w:rFonts w:ascii="PT Astra Serif" w:hAnsi="PT Astra Serif" w:eastAsia="PT Astra Serif" w:cs="PT Astra Serif"/>
                <w:b w:val="0"/>
                <w:bCs w:val="0"/>
                <w:color w:val="000000" w:themeColor="text1"/>
                <w:sz w:val="24"/>
                <w:szCs w:val="24"/>
                <w:highlight w:val="none"/>
              </w:rPr>
              <w:t xml:space="preserve">по итогам решения учредителям переходящий остаток планируется к подтверждению для расходования в текущем периоде или при отсутствии подтверждающих принятые обязательства на возврат в бюджет</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Итого сч. 0.205.00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6 524 080 244,43</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gridSpan w:val="3"/>
            <w:tcBorders>
              <w:top w:val="single" w:color="000000" w:sz="4" w:space="0"/>
              <w:left w:val="single" w:color="000000" w:sz="4" w:space="0"/>
              <w:bottom w:val="single" w:color="000000" w:sz="4" w:space="0"/>
              <w:right w:val="single" w:color="000000" w:sz="4" w:space="0"/>
            </w:tcBorders>
            <w:tcW w:w="9639"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Расходы</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1.206.23.000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133 996,82</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предварительные платежи за потребление энергоресурсов за декабрь 2025 (согласно условиям договора (контракта))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окончательный расчет за декабрь 2025 в январе текущего финансового года по итогам приемки оказанной услуги</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1.206.41.000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5 100 000,00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по расчетам с получателями грантов в форме субсидии (перечислены средства победителям номинаций проекта «Через тернии к звездам»)</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будет списана Департаментом на счета учета затрат в текущем финансовом году по факту предоставления получателями субсидии отчета о расходах и достижении установленных значений результатов показателей</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Итого сч. 0.206.00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5 233 996,82</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1.208.21.000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87,50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выданы под отчет денежные документы (марки, конверты) для отправки почтовых сообщений </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будет списана Департаментом на счета учета затрат по факту предоставления подотчетным лицом отчета (январь – февраль 2026)</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Итого сч.0.208.00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87,50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1.209.41.000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3 135,21</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начислена задолженность по возмещению в рамках контракта от 16.12.2025 </w:t>
            </w:r>
            <w:r>
              <w:rPr>
                <w:rFonts w:ascii="PT Astra Serif" w:hAnsi="PT Astra Serif" w:eastAsia="PT Astra Serif" w:cs="PT Astra Serif"/>
                <w:b w:val="0"/>
                <w:bCs w:val="0"/>
                <w:color w:val="000000" w:themeColor="text1"/>
                <w:sz w:val="24"/>
                <w:szCs w:val="24"/>
                <w:highlight w:val="none"/>
              </w:rPr>
              <w:t xml:space="preserve">№ 2-ЭЗК </w:t>
            </w:r>
            <w:r>
              <w:rPr>
                <w:rFonts w:ascii="PT Astra Serif" w:hAnsi="PT Astra Serif" w:eastAsia="PT Astra Serif" w:cs="PT Astra Serif"/>
                <w:b w:val="0"/>
                <w:bCs w:val="0"/>
                <w:color w:val="000000" w:themeColor="text1"/>
                <w:sz w:val="24"/>
                <w:szCs w:val="24"/>
                <w:highlight w:val="none"/>
              </w:rPr>
              <w:t xml:space="preserve">ООО «АЙТИ АЛЬФА» на основании требования №65-16973 от 30.12.25 в связи с невыполнением обязательств по контракту</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1.209.36.000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2 999 743,18</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задолженность педагогов (3 человека) по возврату единой компенсационной выплаты, полученной в рамках проекта «Земский учитель» (в связи с нарушением условий договора – досрочное увольнение)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1.209.45.000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42 517,11</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41 712,32 руб. – задолженность по решению судебных органов за пользование чужими денежными средствами («Земский учитель»)</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804,79 руб. – </w:t>
            </w:r>
            <w:r>
              <w:rPr>
                <w:rFonts w:ascii="PT Astra Serif" w:hAnsi="PT Astra Serif" w:eastAsia="PT Astra Serif" w:cs="PT Astra Serif"/>
                <w:b w:val="0"/>
                <w:bCs w:val="0"/>
                <w:color w:val="000000" w:themeColor="text1"/>
                <w:sz w:val="24"/>
                <w:szCs w:val="24"/>
                <w:highlight w:val="none"/>
              </w:rPr>
              <w:t xml:space="preserve">задолженн</w:t>
            </w:r>
            <w:r>
              <w:rPr>
                <w:rFonts w:ascii="PT Astra Serif" w:hAnsi="PT Astra Serif" w:eastAsia="PT Astra Serif" w:cs="PT Astra Serif"/>
                <w:b w:val="0"/>
                <w:bCs w:val="0"/>
                <w:color w:val="000000" w:themeColor="text1"/>
                <w:sz w:val="24"/>
                <w:szCs w:val="24"/>
                <w:highlight w:val="none"/>
              </w:rPr>
              <w:t xml:space="preserve">ость в бюджет (ПАО «Ингосстрах») от средств обеспечения заявки (118409817) (заказчик по закупке № 0865200000325000194 в связи с принятием решений о несоответствии требованиям в отношении трех заявок на участие в течение квартала  часть 13 статья 44 Закона </w:t>
            </w:r>
            <w:r>
              <w:rPr>
                <w:rFonts w:ascii="PT Astra Serif" w:hAnsi="PT Astra Serif" w:eastAsia="PT Astra Serif" w:cs="PT Astra Serif"/>
                <w:b w:val="0"/>
                <w:bCs w:val="0"/>
                <w:color w:val="000000" w:themeColor="text1"/>
                <w:sz w:val="24"/>
                <w:szCs w:val="24"/>
                <w:highlight w:val="none"/>
              </w:rPr>
              <w:t xml:space="preserve">№ 44-ФЗ)</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Итого сч.0.209.00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3 045 395,50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bl>
    <w:p>
      <w:pPr>
        <w:ind w:left="0" w:right="0" w:firstLine="0"/>
        <w:jc w:val="both"/>
        <w:spacing w:before="0" w:beforeAutospacing="0" w:after="0" w:line="283" w:lineRule="atLeast"/>
        <w:rPr>
          <w:rFonts w:ascii="PT Astra Serif" w:hAnsi="PT Astra Serif" w:cs="PT Astra Serif"/>
          <w:b w:val="0"/>
          <w:bCs w:val="0"/>
          <w:color w:val="000000" w:themeColor="text1"/>
          <w:sz w:val="24"/>
          <w:szCs w:val="24"/>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rPr>
      </w:r>
      <w:r>
        <w:rPr>
          <w:rFonts w:ascii="PT Astra Serif" w:hAnsi="PT Astra Serif" w:cs="PT Astra Serif"/>
          <w:b w:val="0"/>
          <w:bCs w:val="0"/>
          <w:color w:val="000000" w:themeColor="text1"/>
          <w:sz w:val="24"/>
          <w:szCs w:val="24"/>
        </w:rPr>
      </w:r>
      <w:r>
        <w:rPr>
          <w:rFonts w:ascii="PT Astra Serif" w:hAnsi="PT Astra Serif" w:cs="PT Astra Serif"/>
          <w:b w:val="0"/>
          <w:bCs w:val="0"/>
          <w:color w:val="000000" w:themeColor="text1"/>
          <w:sz w:val="24"/>
          <w:szCs w:val="24"/>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rPr>
      </w:r>
      <w:r>
        <w:rPr>
          <w:rFonts w:ascii="PT Astra Serif" w:hAnsi="PT Astra Serif" w:eastAsia="PT Astra Serif" w:cs="PT Astra Serif"/>
          <w:b w:val="0"/>
          <w:bCs w:val="0"/>
          <w:color w:val="000000" w:themeColor="text1"/>
          <w:sz w:val="24"/>
          <w:szCs w:val="24"/>
          <w:highlight w:val="none"/>
        </w:rPr>
        <w:t xml:space="preserve">По состоянию на отчетную дату сумма кредиторской задолженности составила: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bl>
      <w:tblPr>
        <w:tblStyle w:val="762"/>
        <w:tblW w:w="0" w:type="auto"/>
        <w:tblLayout w:type="fixed"/>
        <w:tblLook w:val="04A0" w:firstRow="1" w:lastRow="0" w:firstColumn="1" w:lastColumn="0" w:noHBand="0" w:noVBand="1"/>
      </w:tblPr>
      <w:tblGrid>
        <w:gridCol w:w="2268"/>
        <w:gridCol w:w="2126"/>
        <w:gridCol w:w="5246"/>
      </w:tblGrid>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Номер счета </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бюджетного учета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Сумма, руб.</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Примечание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1.302.24.000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715,08</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rPr>
              <w:t xml:space="preserve">начислена задолженность по </w:t>
            </w:r>
            <w:r>
              <w:rPr>
                <w:rFonts w:ascii="PT Astra Serif" w:hAnsi="PT Astra Serif" w:eastAsia="PT Astra Serif" w:cs="PT Astra Serif"/>
                <w:sz w:val="24"/>
                <w:szCs w:val="24"/>
              </w:rPr>
              <w:t xml:space="preserve">возмещению коммунальных услуг и (или) земельного налога за декабрь 2025 (по договору аренды гаражного помещения, заключенного между Департаментом и ОГБПОУ «ТКГТ»)</w:t>
            </w:r>
            <w:r>
              <w:rPr>
                <w:rFonts w:ascii="PT Astra Serif" w:hAnsi="PT Astra Serif" w:cs="PT Astra Serif"/>
                <w:sz w:val="24"/>
                <w:szCs w:val="24"/>
                <w:highlight w:val="none"/>
              </w:rPr>
            </w:r>
            <w:r>
              <w:rPr>
                <w:rFonts w:ascii="PT Astra Serif" w:hAnsi="PT Astra Serif" w:cs="PT Astra Serif"/>
                <w:sz w:val="24"/>
                <w:szCs w:val="24"/>
                <w:highlight w:val="none"/>
              </w:rPr>
            </w:r>
          </w:p>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highlight w:val="none"/>
              </w:rPr>
              <w:t xml:space="preserve">обязательства по уплате задолженности выполнены Департаментом в январе 2026 </w:t>
            </w:r>
            <w:r>
              <w:rPr>
                <w:rFonts w:ascii="PT Astra Serif" w:hAnsi="PT Astra Serif" w:cs="PT Astra Serif"/>
                <w:sz w:val="24"/>
                <w:szCs w:val="24"/>
              </w:rPr>
            </w:r>
            <w:r>
              <w:rPr>
                <w:rFonts w:ascii="PT Astra Serif" w:hAnsi="PT Astra Serif" w:cs="PT Astra Serif"/>
                <w:sz w:val="24"/>
                <w:szCs w:val="24"/>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1.302.29.000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7 641,95</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rPr>
              <w:t xml:space="preserve">задолженность по </w:t>
            </w:r>
            <w:r>
              <w:rPr>
                <w:rFonts w:ascii="PT Astra Serif" w:hAnsi="PT Astra Serif" w:eastAsia="PT Astra Serif" w:cs="PT Astra Serif"/>
                <w:sz w:val="24"/>
                <w:szCs w:val="24"/>
              </w:rPr>
              <w:t xml:space="preserve">аренде земельного участка, находящегося в федеральной собственности (по договору с </w:t>
            </w:r>
            <w:r>
              <w:rPr>
                <w:rFonts w:ascii="PT Astra Serif" w:hAnsi="PT Astra Serif" w:eastAsia="PT Astra Serif" w:cs="PT Astra Serif"/>
                <w:sz w:val="24"/>
                <w:szCs w:val="24"/>
              </w:rPr>
              <w:t xml:space="preserve">МТУ Росимущества в Кемеровской и Томской области </w:t>
            </w:r>
            <w:r>
              <w:rPr>
                <w:rFonts w:ascii="PT Astra Serif" w:hAnsi="PT Astra Serif" w:eastAsia="PT Astra Serif" w:cs="PT Astra Serif"/>
                <w:sz w:val="24"/>
                <w:szCs w:val="24"/>
              </w:rPr>
              <w:t xml:space="preserve">) за 4 квартал 2025 года</w:t>
            </w:r>
            <w:r>
              <w:rPr>
                <w:rFonts w:ascii="PT Astra Serif" w:hAnsi="PT Astra Serif" w:cs="PT Astra Serif"/>
                <w:sz w:val="24"/>
                <w:szCs w:val="24"/>
                <w:highlight w:val="none"/>
              </w:rPr>
            </w:r>
            <w:r>
              <w:rPr>
                <w:rFonts w:ascii="PT Astra Serif" w:hAnsi="PT Astra Serif" w:cs="PT Astra Serif"/>
                <w:sz w:val="24"/>
                <w:szCs w:val="24"/>
                <w:highlight w:val="none"/>
              </w:rPr>
            </w:r>
          </w:p>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highlight w:val="none"/>
              </w:rPr>
              <w:t xml:space="preserve">обязательства выполнены в январе 2026 года</w:t>
            </w:r>
            <w:r>
              <w:rPr>
                <w:rFonts w:ascii="PT Astra Serif" w:hAnsi="PT Astra Serif" w:cs="PT Astra Serif"/>
                <w:sz w:val="24"/>
                <w:szCs w:val="24"/>
              </w:rPr>
            </w:r>
            <w:r>
              <w:rPr>
                <w:rFonts w:ascii="PT Astra Serif" w:hAnsi="PT Astra Serif" w:cs="PT Astra Serif"/>
                <w:sz w:val="24"/>
                <w:szCs w:val="24"/>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Итого сч.0.302.00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8 357,03</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1.303.05.000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1 117 969,57</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rPr>
              <w:t xml:space="preserve">задолженность по возврату Департаментом остатка средств федерального бюджета, образовавшегося по состоянию на 01.01.2026, в том числе:</w:t>
            </w:r>
            <w:r>
              <w:rPr>
                <w:rFonts w:ascii="PT Astra Serif" w:hAnsi="PT Astra Serif" w:cs="PT Astra Serif"/>
                <w:sz w:val="24"/>
                <w:szCs w:val="24"/>
                <w:highlight w:val="none"/>
              </w:rPr>
            </w:r>
            <w:r>
              <w:rPr>
                <w:rFonts w:ascii="PT Astra Serif" w:hAnsi="PT Astra Serif" w:cs="PT Astra Serif"/>
                <w:sz w:val="24"/>
                <w:szCs w:val="24"/>
                <w:highlight w:val="none"/>
              </w:rPr>
            </w:r>
          </w:p>
          <w:p>
            <w:pP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179 565,71 руб. – субсидия на обеспечение горячим питанием учащихся начальной школы;</w:t>
            </w:r>
            <w:r>
              <w:rPr>
                <w:rFonts w:ascii="PT Astra Serif" w:hAnsi="PT Astra Serif" w:cs="PT Astra Serif"/>
                <w:sz w:val="24"/>
                <w:szCs w:val="24"/>
                <w:highlight w:val="none"/>
              </w:rPr>
            </w:r>
            <w:r>
              <w:rPr>
                <w:rFonts w:ascii="PT Astra Serif" w:hAnsi="PT Astra Serif" w:cs="PT Astra Serif"/>
                <w:sz w:val="24"/>
                <w:szCs w:val="24"/>
                <w:highlight w:val="none"/>
              </w:rPr>
            </w:r>
          </w:p>
          <w:p>
            <w:pP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5 820,27 руб. – </w:t>
            </w:r>
            <w:r>
              <w:rPr>
                <w:rFonts w:ascii="PT Astra Serif" w:hAnsi="PT Astra Serif" w:eastAsia="PT Astra Serif" w:cs="PT Astra Serif"/>
                <w:b w:val="0"/>
                <w:bCs w:val="0"/>
                <w:color w:val="000000" w:themeColor="text1"/>
                <w:sz w:val="24"/>
                <w:szCs w:val="24"/>
                <w:highlight w:val="none"/>
                <w:lang w:val="ru-RU"/>
              </w:rPr>
              <w:t xml:space="preserve">МБТ на ежемесячное денежное вознаграждение советникам директоров</w:t>
            </w:r>
            <w:r>
              <w:rPr>
                <w:rFonts w:ascii="PT Astra Serif" w:hAnsi="PT Astra Serif" w:eastAsia="PT Astra Serif" w:cs="PT Astra Serif"/>
                <w:sz w:val="24"/>
                <w:szCs w:val="24"/>
                <w:highlight w:val="none"/>
              </w:rPr>
              <w:t xml:space="preserve">;</w:t>
            </w:r>
            <w:r>
              <w:rPr>
                <w:rFonts w:ascii="PT Astra Serif" w:hAnsi="PT Astra Serif" w:cs="PT Astra Serif"/>
                <w:sz w:val="24"/>
                <w:szCs w:val="24"/>
                <w:highlight w:val="none"/>
              </w:rPr>
            </w:r>
            <w:r>
              <w:rPr>
                <w:rFonts w:ascii="PT Astra Serif" w:hAnsi="PT Astra Serif" w:cs="PT Astra Serif"/>
                <w:sz w:val="24"/>
                <w:szCs w:val="24"/>
                <w:highlight w:val="none"/>
              </w:rPr>
            </w:r>
          </w:p>
          <w:p>
            <w:pPr>
              <w:spacing w:before="0" w:beforeAutospacing="0" w:after="0" w:afterAutospacing="0" w:line="283" w:lineRule="atLeast"/>
              <w:rPr>
                <w:rFonts w:ascii="PT Astra Serif" w:hAnsi="PT Astra Serif" w:cs="PT Astra Serif"/>
                <w:b w:val="0"/>
                <w:bCs w:val="0"/>
                <w:color w:val="000000" w:themeColor="text1"/>
                <w:sz w:val="24"/>
                <w:szCs w:val="24"/>
                <w:highlight w:val="none"/>
              </w:rPr>
            </w:pPr>
            <w:r>
              <w:rPr>
                <w:rFonts w:ascii="PT Astra Serif" w:hAnsi="PT Astra Serif" w:eastAsia="PT Astra Serif" w:cs="PT Astra Serif"/>
                <w:sz w:val="24"/>
                <w:szCs w:val="24"/>
                <w:highlight w:val="none"/>
              </w:rPr>
              <w:t xml:space="preserve">920 081,27 руб. – МБТ на </w:t>
            </w:r>
            <w:r>
              <w:rPr>
                <w:rFonts w:ascii="PT Astra Serif" w:hAnsi="PT Astra Serif" w:eastAsia="PT Astra Serif" w:cs="PT Astra Serif"/>
                <w:b w:val="0"/>
                <w:bCs w:val="0"/>
                <w:color w:val="000000" w:themeColor="text1"/>
                <w:sz w:val="24"/>
                <w:szCs w:val="24"/>
                <w:highlight w:val="none"/>
                <w:lang w:val="ru-RU"/>
              </w:rPr>
              <w:t xml:space="preserve">ежемесячное денежное вознаграждение педагогическим работникам за классное руководство;</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spacing w:before="0" w:beforeAutospacing="0" w:after="0" w:afterAutospacing="0" w:line="283" w:lineRule="atLeast"/>
              <w:rPr>
                <w:rFonts w:ascii="PT Astra Serif" w:hAnsi="PT Astra Serif" w:cs="PT Astra Serif"/>
                <w:b w:val="0"/>
                <w:bCs w:val="0"/>
                <w:color w:val="000000" w:themeColor="text1"/>
                <w:sz w:val="24"/>
                <w:szCs w:val="24"/>
                <w:highlight w:val="none"/>
              </w:rPr>
            </w:pPr>
            <w:r>
              <w:rPr>
                <w:rFonts w:ascii="PT Astra Serif" w:hAnsi="PT Astra Serif" w:eastAsia="PT Astra Serif" w:cs="PT Astra Serif"/>
                <w:b w:val="0"/>
                <w:bCs w:val="0"/>
                <w:color w:val="000000" w:themeColor="text1"/>
                <w:sz w:val="24"/>
                <w:szCs w:val="24"/>
                <w:highlight w:val="none"/>
                <w:lang w:val="ru-RU"/>
              </w:rPr>
              <w:t xml:space="preserve">12 502,12 руб. – МБТ, предусмотренные на </w:t>
            </w:r>
            <w:r>
              <w:rPr>
                <w:rFonts w:ascii="PT Astra Serif" w:hAnsi="PT Astra Serif" w:eastAsia="PT Astra Serif" w:cs="PT Astra Serif"/>
                <w:b w:val="0"/>
                <w:bCs w:val="0"/>
                <w:color w:val="000000" w:themeColor="text1"/>
                <w:sz w:val="24"/>
                <w:szCs w:val="24"/>
                <w:highlight w:val="none"/>
                <w:lang w:val="ru-RU"/>
              </w:rPr>
              <w:t xml:space="preserve">выплату педагогическим работникам за кураторство</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bCs w:val="0"/>
                <w:color w:val="000000" w:themeColor="text1"/>
                <w:sz w:val="24"/>
                <w:szCs w:val="24"/>
                <w:highlight w:val="none"/>
                <w:lang w:val="ru-RU"/>
              </w:rPr>
              <w:t xml:space="preserve">в январе текущего года Департаментом произведен возврат средств в Минпросвещения России</w:t>
            </w:r>
            <w:r>
              <w:rPr>
                <w:rFonts w:ascii="PT Astra Serif" w:hAnsi="PT Astra Serif" w:cs="PT Astra Serif"/>
                <w:sz w:val="24"/>
                <w:szCs w:val="24"/>
              </w:rPr>
            </w:r>
            <w:r>
              <w:rPr>
                <w:rFonts w:ascii="PT Astra Serif" w:hAnsi="PT Astra Serif" w:cs="PT Astra Serif"/>
                <w:sz w:val="24"/>
                <w:szCs w:val="24"/>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Итого сч.0.303.00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1 117 969,57</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1.401.40.186</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1 271 239,76</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textDirection w:val="lrTb"/>
            <w:noWrap w:val="false"/>
          </w:tcPr>
          <w:p>
            <w:pP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rPr>
              <w:t xml:space="preserve">271 239,76 руб. - остаток отложенных доходов от предоставления права пользования н</w:t>
            </w:r>
            <w:r>
              <w:rPr>
                <w:rFonts w:ascii="PT Astra Serif" w:hAnsi="PT Astra Serif" w:eastAsia="PT Astra Serif" w:cs="PT Astra Serif"/>
                <w:sz w:val="24"/>
                <w:szCs w:val="24"/>
              </w:rPr>
              <w:t xml:space="preserve">едвижимым имуществом по договору безвозмездного пользования нежилым имуществом, находящимся в государственной собственности Томской области № 1-Б/2024 от 11.10.2024 (обязательства по предоставлению ОГБПОУ «ТГПК» в пользование помещений гаража Департаменту)</w:t>
            </w:r>
            <w:r>
              <w:rPr>
                <w:rFonts w:ascii="PT Astra Serif" w:hAnsi="PT Astra Serif" w:cs="PT Astra Serif"/>
                <w:sz w:val="24"/>
                <w:szCs w:val="24"/>
                <w:highlight w:val="none"/>
              </w:rPr>
            </w:r>
            <w:r>
              <w:rPr>
                <w:rFonts w:ascii="PT Astra Serif" w:hAnsi="PT Astra Serif" w:cs="PT Astra Serif"/>
                <w:sz w:val="24"/>
                <w:szCs w:val="24"/>
                <w:highlight w:val="none"/>
              </w:rPr>
            </w:r>
          </w:p>
          <w:p>
            <w:pP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 xml:space="preserve">задолженность признается Департаментом доходами текущего периода ежемесячно в течение срока действия договора</w:t>
            </w:r>
            <w:r>
              <w:rPr>
                <w:rFonts w:ascii="PT Astra Serif" w:hAnsi="PT Astra Serif" w:cs="PT Astra Serif"/>
                <w:sz w:val="24"/>
                <w:szCs w:val="24"/>
                <w:highlight w:val="none"/>
              </w:rPr>
            </w:r>
            <w:r>
              <w:rPr>
                <w:rFonts w:ascii="PT Astra Serif" w:hAnsi="PT Astra Serif" w:cs="PT Astra Serif"/>
                <w:sz w:val="24"/>
                <w:szCs w:val="24"/>
                <w:highlight w:val="none"/>
              </w:rPr>
            </w:r>
          </w:p>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highlight w:val="none"/>
              </w:rPr>
              <w:t xml:space="preserve">1 000 000,00 руб. – отражена сумма задолженности по уведом</w:t>
            </w:r>
            <w:r>
              <w:rPr>
                <w:rFonts w:ascii="PT Astra Serif" w:hAnsi="PT Astra Serif" w:eastAsia="PT Astra Serif" w:cs="PT Astra Serif"/>
                <w:sz w:val="24"/>
                <w:szCs w:val="24"/>
                <w:highlight w:val="none"/>
              </w:rPr>
              <w:t xml:space="preserve">лению на возврат компенсационной выплаты за невыполнение условий договора, заключенного педагогом с Департаментом в рамках программ «Земский учитель». Задолженность будет списана Департаментом на счета доходов текущего периода при наличии судебного решения</w:t>
            </w:r>
            <w:r>
              <w:rPr>
                <w:rFonts w:ascii="PT Astra Serif" w:hAnsi="PT Astra Serif" w:cs="PT Astra Serif"/>
                <w:sz w:val="24"/>
                <w:szCs w:val="24"/>
              </w:rPr>
            </w:r>
            <w:r>
              <w:rPr>
                <w:rFonts w:ascii="PT Astra Serif" w:hAnsi="PT Astra Serif" w:cs="PT Astra Serif"/>
                <w:sz w:val="24"/>
                <w:szCs w:val="24"/>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1.401.49.000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6 349 256 600,00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начислены доходы будущего периода по расчетам в рамках согл</w:t>
            </w:r>
            <w:r>
              <w:rPr>
                <w:rFonts w:ascii="PT Astra Serif" w:hAnsi="PT Astra Serif" w:eastAsia="PT Astra Serif" w:cs="PT Astra Serif"/>
                <w:b w:val="0"/>
                <w:bCs w:val="0"/>
                <w:color w:val="000000" w:themeColor="text1"/>
                <w:sz w:val="24"/>
                <w:szCs w:val="24"/>
                <w:highlight w:val="none"/>
              </w:rPr>
              <w:t xml:space="preserve">ашений, заключенных между Администрацией Томской области, Минпросвещением России и  Минцифры России на выполнение в 2026 - 2028 годах мероприятий, реализация которых осуществляется Департаментом по средствам федерального бюджета, в том числе: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266 173 600,00 руб. – выплата заработной планы советникам директоров;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52 510 000,00 руб. – компенсационная выплата по программе «Земский учитель»;</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1 870 660 000,00 руб. – обеспечение горячим питанием учащихся начальной школы общеобразовательных учреждений;</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271 945 700,00 руб. – обеспечение </w:t>
            </w:r>
            <w:r>
              <w:rPr>
                <w:rFonts w:ascii="PT Astra Serif" w:hAnsi="PT Astra Serif" w:eastAsia="PT Astra Serif" w:cs="PT Astra Serif"/>
                <w:b w:val="0"/>
                <w:bCs w:val="0"/>
                <w:color w:val="000000" w:themeColor="text1"/>
                <w:sz w:val="24"/>
                <w:szCs w:val="24"/>
                <w:highlight w:val="none"/>
                <w:lang w:val="en-US"/>
              </w:rPr>
              <w:t xml:space="preserve">IT</w:t>
            </w:r>
            <w:r>
              <w:rPr>
                <w:rFonts w:ascii="PT Astra Serif" w:hAnsi="PT Astra Serif" w:eastAsia="PT Astra Serif" w:cs="PT Astra Serif"/>
                <w:b w:val="0"/>
                <w:bCs w:val="0"/>
                <w:color w:val="000000" w:themeColor="text1"/>
                <w:sz w:val="24"/>
                <w:szCs w:val="24"/>
                <w:highlight w:val="none"/>
                <w:lang w:val="ru-RU"/>
              </w:rPr>
              <w:t xml:space="preserve"> – технологиями образовательные учреждения;</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28 004 900,00 руб. – оснащение предметных кабинетов;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118 513 900,00 руб. – выплата ежемесячного денежного вознаграждения советникам директоров;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3 255 674 700,00 руб. – ежемесячное денежное вознаграждение педагогическим работникам за классное руководство;</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lang w:val="ru-RU"/>
              </w:rPr>
              <w:t xml:space="preserve">350 839 700,00 руб. – выплата педагогическим работникам за кураторство</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jc w:val="left"/>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rPr>
              <w:t xml:space="preserve">134 934 100,00 - </w:t>
            </w:r>
            <w:r>
              <w:rPr>
                <w:rFonts w:ascii="PT Astra Serif" w:hAnsi="PT Astra Serif" w:eastAsia="PT Astra Serif" w:cs="PT Astra Serif"/>
                <w:b w:val="0"/>
                <w:bCs w:val="0"/>
                <w:color w:val="000000" w:themeColor="text1"/>
                <w:sz w:val="24"/>
                <w:szCs w:val="24"/>
                <w:highlight w:val="none"/>
              </w:rPr>
              <w:t xml:space="preserve">приобретение планшетов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Итого сч.1.401.40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6 350 530 974,97</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tc>
      </w:tr>
      <w:tr>
        <w:tblPrEx/>
        <w:trPr/>
        <w:tc>
          <w:tcPr>
            <w:tcBorders>
              <w:top w:val="single" w:color="000000" w:sz="4" w:space="0"/>
              <w:left w:val="single" w:color="000000" w:sz="4" w:space="0"/>
              <w:bottom w:val="single" w:color="000000" w:sz="4" w:space="0"/>
              <w:right w:val="single" w:color="000000" w:sz="4" w:space="0"/>
            </w:tcBorders>
            <w:tcW w:w="2268" w:type="dxa"/>
            <w:vAlign w:val="center"/>
            <w:vMerge w:val="restart"/>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1.401.60.000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2126" w:type="dxa"/>
            <w:vAlign w:val="center"/>
            <w:vMerge w:val="restart"/>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12 181 952,42</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4" w:space="0"/>
              <w:left w:val="single" w:color="000000" w:sz="4" w:space="0"/>
              <w:bottom w:val="single" w:color="000000" w:sz="4" w:space="0"/>
              <w:right w:val="single" w:color="000000" w:sz="4" w:space="0"/>
            </w:tcBorders>
            <w:tcW w:w="5246" w:type="dxa"/>
            <w:vAlign w:val="center"/>
            <w:vMerge w:val="restart"/>
            <w:textDirection w:val="lrTb"/>
            <w:noWrap w:val="false"/>
          </w:tcPr>
          <w:p>
            <w:pP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начислены резервы предстоящих расходов  на оплату отпусков (КОСГУ 211, 213), на услуги </w:t>
            </w:r>
            <w:r>
              <w:rPr>
                <w:rFonts w:ascii="PT Astra Serif" w:hAnsi="PT Astra Serif" w:eastAsia="PT Astra Serif" w:cs="PT Astra Serif"/>
                <w:sz w:val="24"/>
                <w:szCs w:val="24"/>
              </w:rPr>
              <w:t xml:space="preserve">по предоставлению доступа к информационно-коммуникационной сети Интернет и общедоступной электросвязи (КОСГУ 221), потребление коммунальных услуг (КОСГУ 223), расходов по </w:t>
            </w:r>
            <w:r>
              <w:rPr>
                <w:rFonts w:ascii="PT Astra Serif" w:hAnsi="PT Astra Serif" w:eastAsia="PT Astra Serif" w:cs="PT Astra Serif"/>
                <w:sz w:val="24"/>
                <w:szCs w:val="24"/>
              </w:rPr>
              <w:t xml:space="preserve">услугам по комплексному, техническому. аварийному обслуживанию внутренних инженерных систем и оборудования согласно техническому заданию, услуг по уборке помещений (КОСГУ 225), оказание охранных услуг и услуг </w:t>
            </w:r>
            <w:r>
              <w:rPr>
                <w:rFonts w:ascii="PT Astra Serif" w:hAnsi="PT Astra Serif" w:eastAsia="PT Astra Serif" w:cs="PT Astra Serif"/>
                <w:sz w:val="24"/>
                <w:szCs w:val="24"/>
              </w:rPr>
              <w:t xml:space="preserve">по предоставлению неисключительных прав на использование компьютерного программного обеспечения антивирусной защиты</w:t>
            </w:r>
            <w:r>
              <w:rPr>
                <w:rFonts w:ascii="PT Astra Serif" w:hAnsi="PT Astra Serif" w:eastAsia="PT Astra Serif" w:cs="PT Astra Serif"/>
                <w:sz w:val="24"/>
                <w:szCs w:val="24"/>
              </w:rPr>
              <w:t xml:space="preserve"> (КОСГУ 226), услуги по предоставлению прав пользования земельным участком (КОСГУ 229), поставку нефтепродуктов (ГСМ) (КОСГУ 343)</w:t>
            </w:r>
            <w:r>
              <w:rPr>
                <w:rFonts w:ascii="PT Astra Serif" w:hAnsi="PT Astra Serif" w:cs="PT Astra Serif"/>
                <w:sz w:val="24"/>
                <w:szCs w:val="24"/>
              </w:rPr>
            </w:r>
            <w:r>
              <w:rPr>
                <w:rFonts w:ascii="PT Astra Serif" w:hAnsi="PT Astra Serif" w:cs="PT Astra Serif"/>
                <w:sz w:val="24"/>
                <w:szCs w:val="24"/>
              </w:rPr>
            </w:r>
          </w:p>
        </w:tc>
      </w:tr>
    </w:tbl>
    <w:p>
      <w:pPr>
        <w:ind w:left="0" w:right="0" w:firstLine="0"/>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54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rPr>
        <w:tab/>
      </w:r>
      <w:r>
        <w:rPr>
          <w:rFonts w:ascii="PT Astra Serif" w:hAnsi="PT Astra Serif" w:eastAsia="PT Astra Serif" w:cs="PT Astra Serif"/>
          <w:b/>
          <w:bCs/>
          <w:color w:val="000000" w:themeColor="text1"/>
          <w:sz w:val="24"/>
          <w:szCs w:val="24"/>
          <w:highlight w:val="none"/>
          <w:u w:val="none"/>
        </w:rPr>
        <w:t xml:space="preserve">Сведения</w:t>
      </w:r>
      <w:r>
        <w:rPr>
          <w:rFonts w:ascii="PT Astra Serif" w:hAnsi="PT Astra Serif" w:eastAsia="PT Astra Serif" w:cs="PT Astra Serif"/>
          <w:b/>
          <w:bCs/>
          <w:color w:val="000000" w:themeColor="text1"/>
          <w:sz w:val="24"/>
          <w:szCs w:val="24"/>
          <w:highlight w:val="none"/>
        </w:rPr>
        <w:t xml:space="preserve"> о финансовых вложениях получателя бюджетных средств, администратора источников финансирования дефицита бюджета (ф. 0503171)</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708"/>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t xml:space="preserve">Сведения (ф.0503171) формируются согласно положениям пункта 168 Инструкции 191н и содержат обобщенные за отчетный период данные о финансовых вложениях и вложениях в нефинансовые активы Департамента (данные по счету 1.204.33.000).</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tab/>
        <w:t xml:space="preserve">Изменение входящего остатка в Сведениях (ф.0503771) в связи с передачей с 01.01.2025 на областной уровень с муниципального МАОУ «Интеграция». Более подробно данная информация изложена в Сведениях (ф.0503173) настоящей пояснительной записки.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left="0" w:right="0" w:firstLine="0"/>
        <w:jc w:val="both"/>
        <w:spacing w:before="0" w:beforeAutospacing="0" w:after="0" w:line="283" w:lineRule="atLeast"/>
        <w:rPr>
          <w:rFonts w:ascii="PT Astra Serif" w:hAnsi="PT Astra Serif" w:cs="PT Astra Serif"/>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sz w:val="24"/>
          <w:szCs w:val="24"/>
          <w:highlight w:val="none"/>
        </w:rPr>
      </w:r>
      <w:r>
        <w:rPr>
          <w:rFonts w:ascii="PT Astra Serif" w:hAnsi="PT Astra Serif" w:eastAsia="PT Astra Serif" w:cs="PT Astra Serif"/>
          <w:sz w:val="24"/>
          <w:szCs w:val="24"/>
          <w:highlight w:val="none"/>
        </w:rPr>
        <w:tab/>
      </w:r>
      <w:r>
        <w:rPr>
          <w:rFonts w:ascii="PT Astra Serif" w:hAnsi="PT Astra Serif" w:cs="PT Astra Serif"/>
          <w:sz w:val="24"/>
          <w:szCs w:val="24"/>
          <w:highlight w:val="none"/>
        </w:rPr>
      </w:r>
      <w:r>
        <w:rPr>
          <w:rFonts w:ascii="PT Astra Serif" w:hAnsi="PT Astra Serif" w:cs="PT Astra Serif"/>
          <w:sz w:val="24"/>
          <w:szCs w:val="24"/>
          <w:highlight w:val="none"/>
        </w:rPr>
      </w:r>
    </w:p>
    <w:p>
      <w:pPr>
        <w:pStyle w:val="914"/>
        <w:jc w:val="both"/>
        <w:spacing w:before="0" w:beforeAutospacing="0" w:after="0" w:afterAutospacing="0" w:line="283" w:lineRule="atLeast"/>
        <w:rPr>
          <w:rFonts w:ascii="PT Astra Serif" w:hAnsi="PT Astra Serif" w:eastAsia="PT Astra Serif" w:cs="PT Astra Serif"/>
          <w:b/>
          <w:bCs/>
          <w:sz w:val="24"/>
          <w:szCs w:val="24"/>
          <w:highlight w:val="none"/>
        </w:rPr>
      </w:pPr>
      <w:r>
        <w:rPr>
          <w:rFonts w:ascii="PT Astra Serif" w:hAnsi="PT Astra Serif" w:eastAsia="PT Astra Serif" w:cs="PT Astra Serif"/>
          <w:b/>
          <w:sz w:val="24"/>
          <w:szCs w:val="24"/>
          <w:highlight w:val="none"/>
        </w:rPr>
        <w:tab/>
      </w:r>
      <w:r>
        <w:rPr>
          <w:rFonts w:ascii="PT Astra Serif" w:hAnsi="PT Astra Serif" w:eastAsia="PT Astra Serif" w:cs="PT Astra Serif"/>
          <w:b/>
          <w:sz w:val="24"/>
          <w:szCs w:val="24"/>
          <w:highlight w:val="none"/>
        </w:rPr>
        <w:t xml:space="preserve">Сведения о государственном (муниципальном) долге, представленных бюдже</w:t>
      </w:r>
      <w:r>
        <w:rPr>
          <w:rFonts w:ascii="PT Astra Serif" w:hAnsi="PT Astra Serif" w:eastAsia="PT Astra Serif" w:cs="PT Astra Serif"/>
          <w:b/>
          <w:sz w:val="24"/>
          <w:szCs w:val="24"/>
          <w:highlight w:val="none"/>
        </w:rPr>
        <w:t xml:space="preserve">тных кредитах (</w:t>
      </w:r>
      <w:hyperlink r:id="rId10" w:tooltip="https://base.garant.ru/12184447/285e77e2f0c60ac6b30f04a5bd74965e/#block_3772" w:anchor="block_3772" w:history="1">
        <w:r>
          <w:rPr>
            <w:rStyle w:val="888"/>
            <w:rFonts w:ascii="PT Astra Serif" w:hAnsi="PT Astra Serif" w:eastAsia="PT Astra Serif" w:cs="PT Astra Serif"/>
            <w:b/>
            <w:color w:val="000000"/>
            <w:sz w:val="24"/>
            <w:szCs w:val="24"/>
            <w:highlight w:val="none"/>
            <w:u w:val="none"/>
          </w:rPr>
          <w:t xml:space="preserve">ф. 0503172</w:t>
        </w:r>
      </w:hyperlink>
      <w:r>
        <w:rPr>
          <w:rFonts w:ascii="PT Astra Serif" w:hAnsi="PT Astra Serif" w:eastAsia="PT Astra Serif" w:cs="PT Astra Serif"/>
          <w:b/>
          <w:sz w:val="24"/>
          <w:szCs w:val="24"/>
          <w:highlight w:val="none"/>
        </w:rPr>
        <w:t xml:space="preserve">)</w:t>
      </w:r>
      <w:r>
        <w:rPr>
          <w:rFonts w:ascii="PT Astra Serif" w:hAnsi="PT Astra Serif" w:eastAsia="PT Astra Serif" w:cs="PT Astra Serif"/>
          <w:b/>
          <w:bCs/>
          <w:sz w:val="24"/>
          <w:szCs w:val="24"/>
          <w:highlight w:val="none"/>
        </w:rPr>
      </w:r>
      <w:r>
        <w:rPr>
          <w:rFonts w:ascii="PT Astra Serif" w:hAnsi="PT Astra Serif" w:eastAsia="PT Astra Serif" w:cs="PT Astra Serif"/>
          <w:b/>
          <w:bCs/>
          <w:sz w:val="24"/>
          <w:szCs w:val="24"/>
          <w:highlight w:val="none"/>
        </w:rPr>
      </w:r>
    </w:p>
    <w:p>
      <w:pPr>
        <w:pStyle w:val="914"/>
        <w:jc w:val="both"/>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ab/>
        <w:t xml:space="preserve">Сведения </w:t>
      </w:r>
      <w:hyperlink r:id="rId11" w:tooltip="consultantplus://offline/ref=E44E43D2F0636ED8EC30223231CFF78333F2C994AD49740309E27728C4C58ACBBC3B47022E8377CCACA713B9716A5EE429C46EAF543FC4F3i9q9J" w:history="1">
        <w:r>
          <w:rPr>
            <w:rFonts w:ascii="PT Astra Serif" w:hAnsi="PT Astra Serif" w:eastAsia="PT Astra Serif" w:cs="PT Astra Serif"/>
            <w:sz w:val="24"/>
            <w:szCs w:val="24"/>
            <w:highlight w:val="none"/>
          </w:rPr>
          <w:t xml:space="preserve">(ф. 0503172)</w:t>
        </w:r>
      </w:hyperlink>
      <w:r>
        <w:rPr>
          <w:rFonts w:ascii="PT Astra Serif" w:hAnsi="PT Astra Serif" w:eastAsia="PT Astra Serif" w:cs="PT Astra Serif"/>
          <w:sz w:val="24"/>
          <w:szCs w:val="24"/>
          <w:highlight w:val="none"/>
        </w:rPr>
        <w:t xml:space="preserve"> формируются в соответствии с пунктом 169 Инструкции 191н на основании показателей по счетам бухгалтерского учета, </w:t>
      </w:r>
      <w:r>
        <w:rPr>
          <w:rFonts w:ascii="PT Astra Serif" w:hAnsi="PT Astra Serif" w:eastAsia="PT Astra Serif" w:cs="PT Astra Serif"/>
          <w:sz w:val="24"/>
          <w:szCs w:val="24"/>
          <w:highlight w:val="none"/>
        </w:rPr>
        <w:t xml:space="preserve">отражающим сведения о </w:t>
      </w:r>
      <w:r>
        <w:rPr>
          <w:rFonts w:ascii="PT Astra Serif" w:hAnsi="PT Astra Serif" w:eastAsia="PT Astra Serif" w:cs="PT Astra Serif"/>
          <w:sz w:val="24"/>
          <w:szCs w:val="24"/>
          <w:highlight w:val="none"/>
        </w:rPr>
        <w:t xml:space="preserve">государственном (муниципальном) долге, предоставленных бюджетных кредитах (данные по счетам 1.207.00.000 «Расчеты по кр</w:t>
      </w:r>
      <w:r>
        <w:rPr>
          <w:rFonts w:ascii="PT Astra Serif" w:hAnsi="PT Astra Serif" w:eastAsia="PT Astra Serif" w:cs="PT Astra Serif"/>
          <w:sz w:val="24"/>
          <w:szCs w:val="24"/>
          <w:highlight w:val="none"/>
        </w:rPr>
        <w:t xml:space="preserve">едитам (займам), ссудам» (исключение счет 1.207.44.000), 1.301.00.000 «Расчеты с кредиторами по долговым обязательствам» (исключение счет 1.301.14.000) по которым на начало периода и (или) на отчетную дату отражены остатки в расчетах и суммы задолженности.</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В </w:t>
      </w:r>
      <w:r>
        <w:rPr>
          <w:rFonts w:ascii="PT Astra Serif" w:hAnsi="PT Astra Serif" w:eastAsia="PT Astra Serif" w:cs="PT Astra Serif"/>
          <w:sz w:val="24"/>
          <w:szCs w:val="24"/>
          <w:highlight w:val="none"/>
          <w:lang w:eastAsia="ru-RU"/>
        </w:rPr>
        <w:t xml:space="preserve">связи с тем, что показатели о государственном (муниципальном) долге, представленных бюджетных кредитах в бюджетном учете Департамента отсутствуют,  Сведения (ф.0503172) в составе настоящей сводной бюджетной отчетности не представлены (п.8 Инструкции 191н).</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540"/>
        <w:jc w:val="both"/>
        <w:spacing w:before="0" w:beforeAutospacing="0" w:after="0" w:line="283" w:lineRule="atLeast"/>
        <w:rPr>
          <w:rFonts w:ascii="PT Astra Serif" w:hAnsi="PT Astra Serif" w:cs="PT Astra Serif"/>
          <w:sz w:val="24"/>
          <w:szCs w:val="24"/>
          <w:highlight w:val="lightGray"/>
        </w:rPr>
      </w:pPr>
      <w:r>
        <w:rPr>
          <w:rFonts w:ascii="PT Astra Serif" w:hAnsi="PT Astra Serif" w:eastAsia="PT Astra Serif" w:cs="PT Astra Serif"/>
          <w:sz w:val="24"/>
          <w:szCs w:val="24"/>
          <w:highlight w:val="lightGray"/>
          <w:lang w:eastAsia="ru-RU"/>
        </w:rPr>
      </w:r>
      <w:r>
        <w:rPr>
          <w:rFonts w:ascii="PT Astra Serif" w:hAnsi="PT Astra Serif" w:cs="PT Astra Serif"/>
          <w:sz w:val="24"/>
          <w:szCs w:val="24"/>
          <w:highlight w:val="lightGray"/>
        </w:rPr>
      </w:r>
      <w:r>
        <w:rPr>
          <w:rFonts w:ascii="PT Astra Serif" w:hAnsi="PT Astra Serif" w:cs="PT Astra Serif"/>
          <w:sz w:val="24"/>
          <w:szCs w:val="24"/>
          <w:highlight w:val="lightGray"/>
        </w:rPr>
      </w:r>
    </w:p>
    <w:p>
      <w:pPr>
        <w:pStyle w:val="914"/>
        <w:jc w:val="both"/>
        <w:spacing w:before="0" w:beforeAutospacing="0" w:after="0" w:afterAutospacing="0" w:line="283" w:lineRule="atLeast"/>
        <w:rPr>
          <w:rFonts w:ascii="PT Astra Serif" w:hAnsi="PT Astra Serif" w:cs="PT Astra Serif"/>
          <w:b/>
          <w:sz w:val="24"/>
          <w:szCs w:val="24"/>
          <w:highlight w:val="none"/>
        </w:rPr>
      </w:pPr>
      <w:r>
        <w:rPr>
          <w:rFonts w:ascii="PT Astra Serif" w:hAnsi="PT Astra Serif" w:eastAsia="PT Astra Serif" w:cs="PT Astra Serif"/>
          <w:sz w:val="24"/>
          <w:szCs w:val="24"/>
        </w:rPr>
        <w:tab/>
      </w:r>
      <w:r>
        <w:rPr>
          <w:rFonts w:ascii="PT Astra Serif" w:hAnsi="PT Astra Serif" w:eastAsia="PT Astra Serif" w:cs="PT Astra Serif"/>
          <w:b/>
          <w:sz w:val="24"/>
          <w:szCs w:val="24"/>
          <w:highlight w:val="none"/>
        </w:rPr>
        <w:t xml:space="preserve">Сведения об изменении остатков валюты баланса (</w:t>
      </w:r>
      <w:hyperlink r:id="rId12" w:tooltip="https://base.garant.ru/12184447/285e77e2f0c60ac6b30f04a5bd74965e/#block_3773" w:anchor="block_3773" w:history="1">
        <w:r>
          <w:rPr>
            <w:rStyle w:val="888"/>
            <w:rFonts w:ascii="PT Astra Serif" w:hAnsi="PT Astra Serif" w:eastAsia="PT Astra Serif" w:cs="PT Astra Serif"/>
            <w:b/>
            <w:color w:val="000000"/>
            <w:sz w:val="24"/>
            <w:szCs w:val="24"/>
            <w:highlight w:val="none"/>
            <w:u w:val="none"/>
          </w:rPr>
          <w:t xml:space="preserve">ф. 0503</w:t>
        </w:r>
      </w:hyperlink>
      <w:r>
        <w:rPr>
          <w:rFonts w:ascii="PT Astra Serif" w:hAnsi="PT Astra Serif" w:eastAsia="PT Astra Serif" w:cs="PT Astra Serif"/>
          <w:b/>
          <w:sz w:val="24"/>
          <w:szCs w:val="24"/>
          <w:highlight w:val="none"/>
        </w:rPr>
        <w:t xml:space="preserve">173)</w:t>
      </w:r>
      <w:r>
        <w:rPr>
          <w:rFonts w:ascii="PT Astra Serif" w:hAnsi="PT Astra Serif" w:cs="PT Astra Serif"/>
          <w:b/>
          <w:sz w:val="24"/>
          <w:szCs w:val="24"/>
          <w:highlight w:val="none"/>
        </w:rPr>
      </w:r>
      <w:r>
        <w:rPr>
          <w:rFonts w:ascii="PT Astra Serif" w:hAnsi="PT Astra Serif" w:cs="PT Astra Serif"/>
          <w:b/>
          <w:sz w:val="24"/>
          <w:szCs w:val="24"/>
          <w:highlight w:val="none"/>
        </w:rPr>
      </w:r>
    </w:p>
    <w:p>
      <w:pPr>
        <w:pStyle w:val="914"/>
        <w:jc w:val="both"/>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b/>
          <w:sz w:val="24"/>
          <w:szCs w:val="24"/>
          <w:highlight w:val="none"/>
        </w:rPr>
        <w:tab/>
      </w:r>
      <w:r>
        <w:rPr>
          <w:rFonts w:ascii="PT Astra Serif" w:hAnsi="PT Astra Serif" w:eastAsia="PT Astra Serif" w:cs="PT Astra Serif"/>
          <w:sz w:val="24"/>
          <w:szCs w:val="24"/>
          <w:highlight w:val="none"/>
        </w:rPr>
        <w:t xml:space="preserve">Сведения (ф.0503173) формируются согласно пункту 170 Инструкции 191н и содержат обобщенные за отчетный период данные об изменении показателей на начало отчетного периода вступительного баланса Департамента.</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line="283" w:lineRule="atLeast"/>
        <w:rPr>
          <w:rFonts w:ascii="PT Astra Serif" w:hAnsi="PT Astra Serif" w:eastAsia="PT Astra Serif" w:cs="PT Astra Serif"/>
          <w:b w:val="0"/>
          <w:bCs w:val="0"/>
          <w:sz w:val="24"/>
          <w:szCs w:val="24"/>
          <w:highlight w:val="none"/>
          <w:lang w:val="ru-RU"/>
        </w:rPr>
      </w:pPr>
      <w:r>
        <w:rPr>
          <w:rFonts w:ascii="PT Astra Serif" w:hAnsi="PT Astra Serif" w:eastAsia="PT Astra Serif" w:cs="PT Astra Serif"/>
          <w:b w:val="0"/>
          <w:bCs w:val="0"/>
          <w:sz w:val="24"/>
          <w:szCs w:val="24"/>
          <w:highlight w:val="none"/>
        </w:rPr>
        <w:t xml:space="preserve">1. Реорганизационные мероприятия в связи с изменением подведомственности учреждения</w:t>
      </w:r>
      <w:r>
        <w:rPr>
          <w:rFonts w:ascii="PT Astra Serif" w:hAnsi="PT Astra Serif" w:eastAsia="PT Astra Serif" w:cs="PT Astra Serif"/>
          <w:b w:val="0"/>
          <w:bCs w:val="0"/>
          <w:sz w:val="24"/>
          <w:szCs w:val="24"/>
          <w:highlight w:val="none"/>
          <w:lang w:val="ru-RU"/>
        </w:rPr>
        <w:t xml:space="preserve">.</w:t>
      </w:r>
      <w:r>
        <w:rPr>
          <w:rFonts w:ascii="PT Astra Serif" w:hAnsi="PT Astra Serif" w:eastAsia="PT Astra Serif" w:cs="PT Astra Serif"/>
          <w:b w:val="0"/>
          <w:bCs w:val="0"/>
          <w:sz w:val="24"/>
          <w:szCs w:val="24"/>
          <w:highlight w:val="none"/>
          <w:lang w:val="ru-RU"/>
        </w:rPr>
      </w:r>
      <w:r>
        <w:rPr>
          <w:rFonts w:ascii="PT Astra Serif" w:hAnsi="PT Astra Serif" w:eastAsia="PT Astra Serif" w:cs="PT Astra Serif"/>
          <w:b w:val="0"/>
          <w:bCs w:val="0"/>
          <w:sz w:val="24"/>
          <w:szCs w:val="24"/>
          <w:highlight w:val="none"/>
          <w:lang w:val="ru-RU"/>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lang w:val="ru-RU"/>
        </w:rPr>
        <w:t xml:space="preserve">Изменение входящего остатка в связи с изменением подведомственности муниципального учреждения (распоряжение </w:t>
      </w:r>
      <w:r>
        <w:rPr>
          <w:rFonts w:ascii="PT Astra Serif" w:hAnsi="PT Astra Serif" w:eastAsia="PT Astra Serif" w:cs="PT Astra Serif"/>
          <w:b w:val="0"/>
          <w:bCs w:val="0"/>
          <w:sz w:val="24"/>
          <w:szCs w:val="24"/>
          <w:highlight w:val="none"/>
          <w:lang w:val="ru-RU"/>
        </w:rPr>
        <w:t xml:space="preserve">от 02.12.2024 № 830-ра «О принятии муниципального автономного общеобразовательного учреждения в государственную собственность Томской области»)</w:t>
      </w:r>
      <w:r>
        <w:rPr>
          <w:rFonts w:ascii="PT Astra Serif" w:hAnsi="PT Astra Serif" w:eastAsia="PT Astra Serif" w:cs="PT Astra Serif"/>
          <w:b w:val="0"/>
          <w:bCs w:val="0"/>
          <w:sz w:val="24"/>
          <w:szCs w:val="24"/>
          <w:highlight w:val="none"/>
          <w:lang w:val="ru-RU"/>
        </w:rPr>
        <w:t xml:space="preserve">. В государственную собственность Томским районом с 01.01.2025 передано МАОУ СОШ «Интеграция»</w:t>
      </w:r>
      <w:r>
        <w:rPr>
          <w:rFonts w:ascii="PT Astra Serif" w:hAnsi="PT Astra Serif" w:eastAsia="PT Astra Serif" w:cs="PT Astra Serif"/>
          <w:b w:val="0"/>
          <w:bCs w:val="0"/>
          <w:sz w:val="24"/>
          <w:szCs w:val="24"/>
          <w:highlight w:val="none"/>
          <w:lang w:val="ru-RU"/>
        </w:rPr>
        <w:t xml:space="preserve"> (изменение по счету 1.204.33.000)</w:t>
      </w:r>
      <w:r>
        <w:rPr>
          <w:rFonts w:ascii="PT Astra Serif" w:hAnsi="PT Astra Serif" w:eastAsia="PT Astra Serif" w:cs="PT Astra Serif"/>
          <w:b w:val="0"/>
          <w:bCs w:val="0"/>
          <w:sz w:val="24"/>
          <w:szCs w:val="24"/>
          <w:highlight w:val="none"/>
          <w:lang w:val="ru-RU"/>
        </w:rPr>
        <w:t xml:space="preserve">.</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lang w:val="ru-RU"/>
        </w:rPr>
        <w:t xml:space="preserve">2. Исправление ошибок прошлых лет.</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lang w:val="ru-RU"/>
        </w:rPr>
        <w:t xml:space="preserve">Изменение входящего ост</w:t>
      </w:r>
      <w:r>
        <w:rPr>
          <w:rFonts w:ascii="PT Astra Serif" w:hAnsi="PT Astra Serif" w:eastAsia="PT Astra Serif" w:cs="PT Astra Serif"/>
          <w:b w:val="0"/>
          <w:bCs w:val="0"/>
          <w:sz w:val="24"/>
          <w:szCs w:val="24"/>
          <w:highlight w:val="none"/>
          <w:lang w:val="ru-RU"/>
        </w:rPr>
        <w:t xml:space="preserve">атка на сумму 722,06 руб. в связи с исправлением ошибки прошлых лет – доначислены расходы за 2024 год, произведенные ранее и учитываемые в составе расходов будущих периодов, на финансовый результат соответствующего финансового года (право на использование </w:t>
      </w:r>
      <w:r>
        <w:rPr>
          <w:rFonts w:ascii="PT Astra Serif" w:hAnsi="PT Astra Serif" w:eastAsia="PT Astra Serif" w:cs="PT Astra Serif"/>
          <w:b w:val="0"/>
          <w:bCs w:val="0"/>
          <w:sz w:val="24"/>
          <w:szCs w:val="24"/>
          <w:highlight w:val="none"/>
          <w:lang w:val="en-US"/>
        </w:rPr>
        <w:t xml:space="preserve">Web</w:t>
      </w:r>
      <w:r>
        <w:rPr>
          <w:rFonts w:ascii="PT Astra Serif" w:hAnsi="PT Astra Serif" w:eastAsia="PT Astra Serif" w:cs="PT Astra Serif"/>
          <w:b w:val="0"/>
          <w:bCs w:val="0"/>
          <w:sz w:val="24"/>
          <w:szCs w:val="24"/>
          <w:highlight w:val="none"/>
          <w:lang w:val="ru-RU"/>
        </w:rPr>
        <w:t xml:space="preserve">-системы СБИС модуль ЭО Базовый, Бюджет).</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val="ru-RU"/>
        </w:rPr>
        <w:t xml:space="preserve">Изменение входящего остатка на сумму 308 400,00 руб. по аналитическому счету учета 1.205.12.000 </w:t>
      </w:r>
      <w:r>
        <w:rPr>
          <w:rFonts w:ascii="PT Astra Serif" w:hAnsi="PT Astra Serif" w:eastAsia="PT Astra Serif" w:cs="PT Astra Serif"/>
          <w:sz w:val="24"/>
          <w:szCs w:val="24"/>
          <w:highlight w:val="none"/>
          <w:lang w:val="ru-RU"/>
        </w:rPr>
        <w:t xml:space="preserve">«</w:t>
      </w:r>
      <w:r>
        <w:rPr>
          <w:rFonts w:ascii="PT Astra Serif" w:hAnsi="PT Astra Serif" w:eastAsia="PT Astra Serif" w:cs="PT Astra Serif"/>
          <w:sz w:val="24"/>
          <w:szCs w:val="24"/>
          <w:highlight w:val="none"/>
        </w:rPr>
        <w:t xml:space="preserve">Расчеты с плательщиками государственных пошлин, сборов</w:t>
      </w:r>
      <w:r>
        <w:rPr>
          <w:rFonts w:ascii="PT Astra Serif" w:hAnsi="PT Astra Serif" w:eastAsia="PT Astra Serif" w:cs="PT Astra Serif"/>
          <w:sz w:val="24"/>
          <w:szCs w:val="24"/>
          <w:highlight w:val="none"/>
          <w:lang w:val="ru-RU"/>
        </w:rPr>
        <w:t xml:space="preserve">»</w:t>
      </w:r>
      <w:r>
        <w:rPr>
          <w:rFonts w:ascii="PT Astra Serif" w:hAnsi="PT Astra Serif" w:eastAsia="PT Astra Serif" w:cs="PT Astra Serif"/>
          <w:sz w:val="24"/>
          <w:szCs w:val="24"/>
          <w:highlight w:val="none"/>
          <w:lang w:val="ru-RU"/>
        </w:rPr>
        <w:t xml:space="preserve"> в связи с выявлением ошибки учета услуг по апостилированию документов и аккредитации образовательных учреждений. </w:t>
      </w:r>
      <w:r>
        <w:rPr>
          <w:rFonts w:ascii="PT Astra Serif" w:hAnsi="PT Astra Serif" w:cs="PT Astra Serif"/>
          <w:sz w:val="24"/>
          <w:szCs w:val="24"/>
          <w:highlight w:val="none"/>
        </w:rPr>
      </w:r>
      <w:r>
        <w:rPr>
          <w:rFonts w:ascii="PT Astra Serif" w:hAnsi="PT Astra Serif" w:cs="PT Astra Serif"/>
          <w:sz w:val="24"/>
          <w:szCs w:val="24"/>
          <w:highlight w:val="none"/>
        </w:rPr>
      </w:r>
    </w:p>
    <w:p>
      <w:pPr>
        <w:ind w:firstLine="708"/>
        <w:jc w:val="both"/>
        <w:spacing w:before="0" w:beforeAutospacing="0" w:after="0" w:afterAutospacing="0" w:line="283" w:lineRule="atLeast"/>
        <w:rPr>
          <w:rFonts w:ascii="PT Astra Serif" w:hAnsi="PT Astra Serif" w:cs="PT Astra Serif"/>
          <w:color w:val="000000"/>
          <w:spacing w:val="-4"/>
          <w:sz w:val="24"/>
          <w:szCs w:val="24"/>
          <w:highlight w:val="none"/>
        </w:rPr>
      </w:pPr>
      <w:r>
        <w:rPr>
          <w:rFonts w:ascii="PT Astra Serif" w:hAnsi="PT Astra Serif" w:eastAsia="PT Astra Serif" w:cs="PT Astra Serif"/>
          <w:sz w:val="24"/>
          <w:szCs w:val="24"/>
          <w:highlight w:val="none"/>
          <w:lang w:val="ru-RU"/>
        </w:rPr>
      </w:r>
      <w:r>
        <w:rPr>
          <w:rFonts w:ascii="PT Astra Serif" w:hAnsi="PT Astra Serif" w:eastAsia="PT Astra Serif" w:cs="PT Astra Serif"/>
          <w:sz w:val="24"/>
          <w:szCs w:val="24"/>
          <w:highlight w:val="none"/>
          <w:lang w:val="ru-RU"/>
        </w:rPr>
        <w:t xml:space="preserve">Согласно положениям пунктов 6 и 16 приказа Минфина России </w:t>
      </w:r>
      <w:r>
        <w:rPr>
          <w:rFonts w:ascii="PT Astra Serif" w:hAnsi="PT Astra Serif" w:eastAsia="PT Astra Serif" w:cs="PT Astra Serif"/>
          <w:sz w:val="24"/>
          <w:szCs w:val="24"/>
          <w:highlight w:val="none"/>
        </w:rPr>
        <w:t xml:space="preserve">от 27.02.2018 № 32н «Об утверждении федерального стандарта бухгалтерского учета для организаций государственного сектора «Доходы»</w:t>
      </w:r>
      <w:r>
        <w:rPr>
          <w:rFonts w:ascii="PT Astra Serif" w:hAnsi="PT Astra Serif" w:eastAsia="PT Astra Serif" w:cs="PT Astra Serif"/>
          <w:color w:val="000000"/>
          <w:spacing w:val="-4"/>
          <w:sz w:val="24"/>
          <w:szCs w:val="24"/>
          <w:highlight w:val="none"/>
        </w:rPr>
        <w:t xml:space="preserve"> доходы и платежи, полученные от плательщиков госпошлины и сборов, относятся </w:t>
      </w:r>
      <w:r>
        <w:rPr>
          <w:rFonts w:ascii="PT Astra Serif" w:hAnsi="PT Astra Serif" w:eastAsia="PT Astra Serif" w:cs="PT Astra Serif"/>
          <w:color w:val="000000"/>
          <w:spacing w:val="-4"/>
          <w:sz w:val="24"/>
          <w:szCs w:val="24"/>
          <w:highlight w:val="none"/>
        </w:rPr>
        <w:t xml:space="preserve">к учетной группе доходов от необменных операций и отражается по факту получения информации по уплате платежей (или факту возникновения у плательщика обязанности по уплате платежа).</w:t>
      </w:r>
      <w:r>
        <w:rPr>
          <w:rFonts w:ascii="PT Astra Serif" w:hAnsi="PT Astra Serif" w:cs="PT Astra Serif"/>
          <w:color w:val="000000"/>
          <w:spacing w:val="-4"/>
          <w:sz w:val="24"/>
          <w:szCs w:val="24"/>
          <w:highlight w:val="none"/>
        </w:rPr>
      </w:r>
      <w:r>
        <w:rPr>
          <w:rFonts w:ascii="PT Astra Serif" w:hAnsi="PT Astra Serif" w:cs="PT Astra Serif"/>
          <w:color w:val="000000"/>
          <w:spacing w:val="-4"/>
          <w:sz w:val="24"/>
          <w:szCs w:val="24"/>
          <w:highlight w:val="none"/>
        </w:rPr>
      </w:r>
    </w:p>
    <w:p>
      <w:pPr>
        <w:ind w:firstLine="708"/>
        <w:jc w:val="both"/>
        <w:spacing w:before="0" w:beforeAutospacing="0" w:after="0" w:afterAutospacing="0" w:line="283" w:lineRule="atLeast"/>
        <w:rPr>
          <w:rFonts w:ascii="PT Astra Serif" w:hAnsi="PT Astra Serif" w:cs="PT Astra Serif"/>
          <w:color w:val="000000"/>
          <w:spacing w:val="-4"/>
          <w:sz w:val="24"/>
          <w:szCs w:val="24"/>
          <w:highlight w:val="none"/>
        </w:rPr>
      </w:pPr>
      <w:r>
        <w:rPr>
          <w:rFonts w:ascii="PT Astra Serif" w:hAnsi="PT Astra Serif" w:eastAsia="PT Astra Serif" w:cs="PT Astra Serif"/>
          <w:color w:val="000000"/>
          <w:spacing w:val="-4"/>
          <w:sz w:val="24"/>
          <w:szCs w:val="24"/>
          <w:highlight w:val="none"/>
        </w:rPr>
        <w:t xml:space="preserve">Департаментом начисление услуги про</w:t>
      </w:r>
      <w:r>
        <w:rPr>
          <w:rFonts w:ascii="PT Astra Serif" w:hAnsi="PT Astra Serif" w:eastAsia="PT Astra Serif" w:cs="PT Astra Serif"/>
          <w:color w:val="000000"/>
          <w:spacing w:val="-4"/>
          <w:sz w:val="24"/>
          <w:szCs w:val="24"/>
          <w:highlight w:val="none"/>
        </w:rPr>
        <w:t xml:space="preserve">изводилось по факту ее оказания. Согласно законодательству начисление должно осуществляться по факту получения информации по уплате платежей (или по факту возникновения у плательщика обязанности по уплате платежа), т.е. независимо от факта оказания услуги.</w:t>
      </w:r>
      <w:r>
        <w:rPr>
          <w:rFonts w:ascii="PT Astra Serif" w:hAnsi="PT Astra Serif" w:eastAsia="PT Astra Serif" w:cs="PT Astra Serif"/>
          <w:color w:val="000000"/>
          <w:spacing w:val="-4"/>
          <w:sz w:val="24"/>
          <w:szCs w:val="24"/>
          <w:highlight w:val="none"/>
        </w:rPr>
        <w:t xml:space="preserve"> </w:t>
      </w:r>
      <w:r>
        <w:rPr>
          <w:rFonts w:ascii="PT Astra Serif" w:hAnsi="PT Astra Serif" w:eastAsia="PT Astra Serif" w:cs="PT Astra Serif"/>
          <w:color w:val="000000"/>
          <w:spacing w:val="-4"/>
          <w:sz w:val="24"/>
          <w:szCs w:val="24"/>
          <w:highlight w:val="none"/>
          <w:lang w:val="ru-RU"/>
        </w:rPr>
        <w:t xml:space="preserve">Заявитель услуги может обратиться с заявлением на возврат госпошлины в течение 3 лет с даты ее уплаты (в случае, если услуга не была оказана).</w:t>
      </w:r>
      <w:r>
        <w:rPr>
          <w:rFonts w:ascii="PT Astra Serif" w:hAnsi="PT Astra Serif" w:cs="PT Astra Serif"/>
          <w:color w:val="000000"/>
          <w:spacing w:val="-4"/>
          <w:sz w:val="24"/>
          <w:szCs w:val="24"/>
          <w:highlight w:val="none"/>
        </w:rPr>
      </w:r>
      <w:r>
        <w:rPr>
          <w:rFonts w:ascii="PT Astra Serif" w:hAnsi="PT Astra Serif" w:cs="PT Astra Serif"/>
          <w:color w:val="000000"/>
          <w:spacing w:val="-4"/>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color w:val="000000"/>
          <w:spacing w:val="-4"/>
          <w:sz w:val="24"/>
          <w:szCs w:val="24"/>
          <w:highlight w:val="none"/>
        </w:rPr>
        <w:t xml:space="preserve">Дополнительно </w:t>
      </w:r>
      <w:r>
        <w:rPr>
          <w:rFonts w:ascii="PT Astra Serif" w:hAnsi="PT Astra Serif" w:eastAsia="PT Astra Serif" w:cs="PT Astra Serif"/>
          <w:b w:val="0"/>
          <w:bCs w:val="0"/>
          <w:sz w:val="24"/>
          <w:szCs w:val="24"/>
          <w:highlight w:val="none"/>
        </w:rPr>
        <w:t xml:space="preserve">причины отражены по строке 070 Таблицы № 14 Пояснительной записки (ф.0503160).</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ind w:firstLine="708"/>
        <w:jc w:val="both"/>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pStyle w:val="914"/>
        <w:jc w:val="both"/>
        <w:spacing w:before="0" w:beforeAutospacing="0" w:after="0" w:afterAutospacing="0" w:line="283" w:lineRule="atLeast"/>
        <w:rPr>
          <w:rFonts w:ascii="PT Astra Serif" w:hAnsi="PT Astra Serif" w:cs="PT Astra Serif"/>
          <w:b/>
          <w:bCs/>
          <w:sz w:val="24"/>
          <w:szCs w:val="24"/>
          <w:highlight w:val="none"/>
        </w:rPr>
      </w:pPr>
      <w:r>
        <w:rPr>
          <w:rFonts w:ascii="PT Astra Serif" w:hAnsi="PT Astra Serif" w:eastAsia="PT Astra Serif" w:cs="PT Astra Serif"/>
          <w:sz w:val="24"/>
          <w:szCs w:val="24"/>
          <w:highlight w:val="none"/>
        </w:rPr>
        <w:tab/>
      </w:r>
      <w:r>
        <w:rPr>
          <w:rFonts w:ascii="PT Astra Serif" w:hAnsi="PT Astra Serif" w:eastAsia="PT Astra Serif" w:cs="PT Astra Serif"/>
          <w:b/>
          <w:bCs/>
          <w:sz w:val="24"/>
          <w:szCs w:val="24"/>
          <w:highlight w:val="none"/>
        </w:rPr>
        <w:t xml:space="preserve">Сведения о доходах бюджета от перечисления части прибыли (дивидентов) государственных (муниципальных) унитарных предприятий, иных организаций с государственным участием в капитале (ф.0503174)</w:t>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pStyle w:val="914"/>
        <w:jc w:val="both"/>
        <w:spacing w:before="0" w:beforeAutospacing="0" w:after="0" w:afterAutospacing="0" w:line="283" w:lineRule="atLeast"/>
        <w:rPr>
          <w:rFonts w:ascii="PT Astra Serif" w:hAnsi="PT Astra Serif" w:cs="PT Astra Serif"/>
          <w:b w:val="0"/>
          <w:bCs w:val="0"/>
          <w:sz w:val="24"/>
          <w:szCs w:val="24"/>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sz w:val="24"/>
          <w:szCs w:val="24"/>
          <w:highlight w:val="none"/>
        </w:rPr>
        <w:t xml:space="preserve">Сведения </w:t>
      </w:r>
      <w:hyperlink r:id="rId13" w:tooltip="consultantplus://offline/ref=E44E43D2F0636ED8EC30223231CFF78333F2C994AD49740309E27728C4C58ACBBC3B47022E8377CCACA713B9716A5EE429C46EAF543FC4F3i9q9J" w:history="1">
        <w:r>
          <w:rPr>
            <w:rFonts w:ascii="PT Astra Serif" w:hAnsi="PT Astra Serif" w:eastAsia="PT Astra Serif" w:cs="PT Astra Serif"/>
            <w:sz w:val="24"/>
            <w:szCs w:val="24"/>
            <w:highlight w:val="none"/>
          </w:rPr>
          <w:t xml:space="preserve">(ф. 0503174)</w:t>
        </w:r>
      </w:hyperlink>
      <w:r>
        <w:rPr>
          <w:rFonts w:ascii="PT Astra Serif" w:hAnsi="PT Astra Serif" w:eastAsia="PT Astra Serif" w:cs="PT Astra Serif"/>
          <w:sz w:val="24"/>
          <w:szCs w:val="24"/>
          <w:highlight w:val="none"/>
        </w:rPr>
        <w:t xml:space="preserve"> формируются в соответствии с пунктом 170.1 Инструкции 191н</w:t>
      </w:r>
      <w:r>
        <w:rPr>
          <w:rFonts w:ascii="PT Astra Serif" w:hAnsi="PT Astra Serif" w:eastAsia="PT Astra Serif" w:cs="PT Astra Serif"/>
          <w:b w:val="0"/>
          <w:bCs w:val="0"/>
          <w:sz w:val="24"/>
          <w:szCs w:val="24"/>
          <w:highlight w:val="none"/>
        </w:rPr>
        <w:t xml:space="preserve"> и содержат обобщенные за отчетный период данные о начислениях и поступлениях в соответствующий бюджет доходов от перечисления части прибыли, остаю</w:t>
      </w:r>
      <w:r>
        <w:rPr>
          <w:rFonts w:ascii="PT Astra Serif" w:hAnsi="PT Astra Serif" w:eastAsia="PT Astra Serif" w:cs="PT Astra Serif"/>
          <w:b w:val="0"/>
          <w:bCs w:val="0"/>
          <w:sz w:val="24"/>
          <w:szCs w:val="24"/>
          <w:highlight w:val="none"/>
        </w:rPr>
        <w:t xml:space="preserve">щейся в распоряжении после уплаты налогов и иных обязательных платежей (дивидентов) государственными (муниципальными) унитарными предприятиями и иными организациями с государственным участием в капитале (акционерными обществами, хозяйственными обществами).</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pStyle w:val="914"/>
        <w:jc w:val="both"/>
        <w:spacing w:before="0" w:beforeAutospacing="0" w:after="0" w:afterAutospacing="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ab/>
        <w:t xml:space="preserve">В связи с тем, что в бюджетном учете Департамента отсутствуют показатели по счетам 1.505.20.000 «Расчеты по дохо</w:t>
      </w:r>
      <w:r>
        <w:rPr>
          <w:rFonts w:ascii="PT Astra Serif" w:hAnsi="PT Astra Serif" w:eastAsia="PT Astra Serif" w:cs="PT Astra Serif"/>
          <w:b w:val="0"/>
          <w:bCs w:val="0"/>
          <w:sz w:val="24"/>
          <w:szCs w:val="24"/>
          <w:highlight w:val="none"/>
        </w:rPr>
        <w:t xml:space="preserve">дам от собственности», 1.401.10.120 «Доходы от собственности», 1.210.02.120 «Расчеты с финансовым органом по поступившим в бюджет доходам от собственности» Сведения (ф.0503174) в составе настоящей бюджетной отчетности не представлены (п.8 Инструкции 191н).</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p>
      <w:pPr>
        <w:pStyle w:val="914"/>
        <w:jc w:val="both"/>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sz w:val="24"/>
          <w:szCs w:val="24"/>
          <w:highlight w:val="none"/>
        </w:rPr>
        <w:tab/>
      </w:r>
      <w:r>
        <w:rPr>
          <w:rFonts w:ascii="PT Astra Serif" w:hAnsi="PT Astra Serif" w:cs="PT Astra Serif"/>
          <w:b w:val="0"/>
          <w:bCs w:val="0"/>
          <w:sz w:val="24"/>
          <w:szCs w:val="24"/>
        </w:rPr>
      </w:r>
      <w:r>
        <w:rPr>
          <w:rFonts w:ascii="PT Astra Serif" w:hAnsi="PT Astra Serif" w:cs="PT Astra Serif"/>
          <w:b w:val="0"/>
          <w:bCs w:val="0"/>
          <w:sz w:val="24"/>
          <w:szCs w:val="24"/>
        </w:rPr>
      </w:r>
    </w:p>
    <w:p>
      <w:pPr>
        <w:pStyle w:val="914"/>
        <w:jc w:val="both"/>
        <w:spacing w:before="0" w:beforeAutospacing="0" w:after="0" w:afterAutospacing="0" w:line="283" w:lineRule="atLeast"/>
        <w:rPr>
          <w:rFonts w:ascii="PT Astra Serif" w:hAnsi="PT Astra Serif" w:eastAsia="PT Astra Serif" w:cs="PT Astra Serif"/>
          <w:sz w:val="24"/>
          <w:szCs w:val="24"/>
        </w:rPr>
      </w:pPr>
      <w:r>
        <w:rPr>
          <w:rFonts w:ascii="PT Astra Serif" w:hAnsi="PT Astra Serif" w:eastAsia="PT Astra Serif" w:cs="PT Astra Serif"/>
          <w:sz w:val="24"/>
          <w:szCs w:val="24"/>
        </w:rPr>
        <w:tab/>
      </w:r>
      <w:r>
        <w:rPr>
          <w:rFonts w:ascii="PT Astra Serif" w:hAnsi="PT Astra Serif" w:eastAsia="PT Astra Serif" w:cs="PT Astra Serif"/>
          <w:b/>
          <w:color w:val="000000" w:themeColor="text1"/>
          <w:sz w:val="24"/>
          <w:szCs w:val="24"/>
        </w:rPr>
        <w:t xml:space="preserve">Сведения о принятых и неисполненных обязательствах получателя бюджетных средств (</w:t>
      </w:r>
      <w:hyperlink r:id="rId14" w:tooltip="https://base.garant.ru/12184447/285e77e2f0c60ac6b30f04a5bd74965e/#block_503775" w:anchor="block_503775" w:history="1">
        <w:r>
          <w:rPr>
            <w:rStyle w:val="888"/>
            <w:rFonts w:ascii="PT Astra Serif" w:hAnsi="PT Astra Serif" w:eastAsia="PT Astra Serif" w:cs="PT Astra Serif"/>
            <w:b/>
            <w:color w:val="000000" w:themeColor="text1"/>
            <w:sz w:val="24"/>
            <w:szCs w:val="24"/>
            <w:u w:val="none"/>
          </w:rPr>
          <w:t xml:space="preserve">ф. 0503175</w:t>
        </w:r>
      </w:hyperlink>
      <w:r>
        <w:rPr>
          <w:rFonts w:ascii="PT Astra Serif" w:hAnsi="PT Astra Serif" w:eastAsia="PT Astra Serif" w:cs="PT Astra Serif"/>
          <w:b/>
          <w:color w:val="000000" w:themeColor="text1"/>
          <w:sz w:val="24"/>
          <w:szCs w:val="24"/>
        </w:rPr>
        <w:t xml:space="preserve">)</w:t>
      </w:r>
      <w:r>
        <w:rPr>
          <w:rFonts w:ascii="PT Astra Serif" w:hAnsi="PT Astra Serif" w:eastAsia="PT Astra Serif" w:cs="PT Astra Serif"/>
          <w:sz w:val="24"/>
          <w:szCs w:val="24"/>
        </w:rPr>
      </w:r>
      <w:r>
        <w:rPr>
          <w:rFonts w:ascii="PT Astra Serif" w:hAnsi="PT Astra Serif" w:eastAsia="PT Astra Serif" w:cs="PT Astra Serif"/>
          <w:sz w:val="24"/>
          <w:szCs w:val="24"/>
        </w:rPr>
      </w:r>
    </w:p>
    <w:p>
      <w:pPr>
        <w:pStyle w:val="914"/>
        <w:jc w:val="both"/>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ab/>
        <w:t xml:space="preserve">Сведения (ф.0503175) формируются согласно пункту 170.2 Инструкции 191н и </w:t>
      </w:r>
      <w:r>
        <w:rPr>
          <w:rFonts w:ascii="PT Astra Serif" w:hAnsi="PT Astra Serif" w:eastAsia="PT Astra Serif" w:cs="PT Astra Serif"/>
          <w:sz w:val="24"/>
          <w:szCs w:val="24"/>
          <w:highlight w:val="none"/>
        </w:rPr>
        <w:t xml:space="preserve">содержит аналитические данные о неисполненных бюджетных обязательствах, неисполненных денежных обязательствах, принятых сверх установленных лимитов, а также суммах экономии, достигнутой в результате применения конкурентных способов определения поставщиков.</w:t>
      </w:r>
      <w:r>
        <w:rPr>
          <w:rFonts w:ascii="PT Astra Serif" w:hAnsi="PT Astra Serif" w:cs="PT Astra Serif"/>
          <w:sz w:val="24"/>
          <w:szCs w:val="24"/>
          <w:highlight w:val="none"/>
        </w:rPr>
      </w:r>
      <w:r>
        <w:rPr>
          <w:rFonts w:ascii="PT Astra Serif" w:hAnsi="PT Astra Serif" w:cs="PT Astra Serif"/>
          <w:sz w:val="24"/>
          <w:szCs w:val="24"/>
          <w:highlight w:val="none"/>
        </w:rPr>
      </w:r>
    </w:p>
    <w:p>
      <w:pPr>
        <w:pStyle w:val="914"/>
        <w:jc w:val="both"/>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tab/>
        <w:t xml:space="preserve">Причины образования неисполненных обязательств (бюджетных и денежных) более подробно описаны в табличной части пояснительной записки.</w:t>
      </w:r>
      <w:r>
        <w:rPr>
          <w:rFonts w:ascii="PT Astra Serif" w:hAnsi="PT Astra Serif" w:eastAsia="PT Astra Serif" w:cs="PT Astra Serif"/>
          <w:sz w:val="24"/>
          <w:szCs w:val="24"/>
          <w:highlight w:val="none"/>
        </w:rPr>
        <w:tab/>
      </w:r>
      <w:r>
        <w:rPr>
          <w:rFonts w:ascii="PT Astra Serif" w:hAnsi="PT Astra Serif" w:cs="PT Astra Serif"/>
          <w:sz w:val="24"/>
          <w:szCs w:val="24"/>
          <w:highlight w:val="none"/>
        </w:rPr>
      </w:r>
      <w:r>
        <w:rPr>
          <w:rFonts w:ascii="PT Astra Serif" w:hAnsi="PT Astra Serif" w:cs="PT Astra Serif"/>
          <w:sz w:val="24"/>
          <w:szCs w:val="24"/>
          <w:highlight w:val="none"/>
        </w:rPr>
      </w:r>
    </w:p>
    <w:p>
      <w:pPr>
        <w:pStyle w:val="914"/>
        <w:jc w:val="both"/>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pStyle w:val="914"/>
        <w:ind w:firstLine="708"/>
        <w:jc w:val="both"/>
        <w:spacing w:before="0" w:beforeAutospacing="0" w:after="0" w:afterAutospacing="0" w:line="283" w:lineRule="atLeast"/>
        <w:rPr>
          <w:rFonts w:ascii="PT Astra Serif" w:hAnsi="PT Astra Serif" w:cs="PT Astra Serif"/>
          <w:b/>
          <w:bCs/>
          <w:highlight w:val="none"/>
        </w:rPr>
      </w:pPr>
      <w:r>
        <w:rPr>
          <w:rFonts w:ascii="PT Astra Serif" w:hAnsi="PT Astra Serif" w:eastAsia="PT Astra Serif" w:cs="PT Astra Serif"/>
          <w:sz w:val="24"/>
          <w:szCs w:val="24"/>
          <w:highlight w:val="none"/>
        </w:rPr>
      </w:r>
      <w:r>
        <w:rPr>
          <w:rFonts w:ascii="PT Astra Serif" w:hAnsi="PT Astra Serif" w:eastAsia="PT Astra Serif" w:cs="PT Astra Serif"/>
          <w:b/>
          <w:bCs/>
          <w:sz w:val="24"/>
          <w:szCs w:val="24"/>
          <w:highlight w:val="none"/>
        </w:rPr>
        <w:t xml:space="preserve">Сведения об остатках денежных средств на счетах получателя бюджетных средств (ф.0503178)</w:t>
      </w:r>
      <w:r>
        <w:rPr>
          <w:rFonts w:ascii="PT Astra Serif" w:hAnsi="PT Astra Serif" w:cs="PT Astra Serif"/>
          <w:b/>
          <w:bCs/>
          <w:highlight w:val="none"/>
        </w:rPr>
      </w:r>
      <w:r>
        <w:rPr>
          <w:rFonts w:ascii="PT Astra Serif" w:hAnsi="PT Astra Serif" w:cs="PT Astra Serif"/>
          <w:b/>
          <w:bCs/>
          <w:highlight w:val="none"/>
        </w:rPr>
      </w:r>
    </w:p>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bCs/>
          <w:sz w:val="24"/>
          <w:szCs w:val="24"/>
          <w:highlight w:val="none"/>
        </w:rPr>
        <w:tab/>
      </w:r>
      <w:r>
        <w:rPr>
          <w:rFonts w:ascii="PT Astra Serif" w:hAnsi="PT Astra Serif" w:eastAsia="PT Astra Serif" w:cs="PT Astra Serif"/>
          <w:b w:val="0"/>
          <w:bCs w:val="0"/>
          <w:sz w:val="24"/>
          <w:szCs w:val="24"/>
          <w:highlight w:val="none"/>
        </w:rPr>
        <w:t xml:space="preserve">Сведения (ф.0503178) формируются в соответствии с пунктом 173 Инструкции 191н и содержат информацию об остатках денежных средств на счетах получателя бюджетных средств.</w:t>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ab/>
        <w:t xml:space="preserve">В разделе 1 «Счета в </w:t>
      </w:r>
      <w:r>
        <w:rPr>
          <w:rFonts w:ascii="PT Astra Serif" w:hAnsi="PT Astra Serif" w:eastAsia="PT Astra Serif" w:cs="PT Astra Serif"/>
          <w:b w:val="0"/>
          <w:bCs w:val="0"/>
          <w:sz w:val="24"/>
          <w:szCs w:val="24"/>
          <w:highlight w:val="none"/>
        </w:rPr>
        <w:t xml:space="preserve">креди</w:t>
      </w:r>
      <w:r>
        <w:rPr>
          <w:rFonts w:ascii="PT Astra Serif" w:hAnsi="PT Astra Serif" w:eastAsia="PT Astra Serif" w:cs="PT Astra Serif"/>
          <w:b w:val="0"/>
          <w:bCs w:val="0"/>
          <w:sz w:val="24"/>
          <w:szCs w:val="24"/>
          <w:highlight w:val="none"/>
        </w:rPr>
        <w:t xml:space="preserve">тных организациях» отражается информация по банковским счетам, открытым в кредитных организациях, в том числе при условии нулевых остатков денежных средств по ним на начало и конец отчетного периода, а также во временном распоряжении, включая счета эскроу.</w:t>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ab/>
        <w:t xml:space="preserve">В связи с тем, что в Департаменте отсутствуют счета в кредитных организациях, в том числе счета эскроу, раздел 1 в Сведениях (ф.0503178) не содержит показателей.</w:t>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sz w:val="24"/>
          <w:szCs w:val="24"/>
          <w:highlight w:val="none"/>
          <w:lang w:eastAsia="ru-RU"/>
        </w:rPr>
        <w:t xml:space="preserve">Департаментом для осуществления деятельности открыты лицевые счета:</w:t>
      </w:r>
      <w:r>
        <w:rPr>
          <w:rFonts w:ascii="PT Astra Serif" w:hAnsi="PT Astra Serif" w:cs="PT Astra Serif"/>
          <w:b w:val="0"/>
          <w:bCs w:val="0"/>
          <w:highlight w:val="none"/>
        </w:rPr>
      </w:r>
      <w:r>
        <w:rPr>
          <w:rFonts w:ascii="PT Astra Serif" w:hAnsi="PT Astra Serif" w:cs="PT Astra Serif"/>
          <w:b w:val="0"/>
          <w:bCs w:val="0"/>
          <w:highlight w:val="none"/>
        </w:rPr>
      </w:r>
    </w:p>
    <w:tbl>
      <w:tblPr>
        <w:tblW w:w="96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036"/>
        <w:gridCol w:w="2192"/>
        <w:gridCol w:w="2410"/>
      </w:tblGrid>
      <w:tr>
        <w:tblPrEx/>
        <w:trPr/>
        <w:tc>
          <w:tcPr>
            <w:tcW w:w="5036" w:type="dxa"/>
            <w:vAlign w:val="center"/>
            <w:textDirection w:val="lrTb"/>
            <w:noWrap w:val="false"/>
          </w:tcPr>
          <w:p>
            <w:pPr>
              <w:jc w:val="center"/>
              <w:spacing w:before="0" w:beforeAutospacing="0" w:after="0" w:line="283" w:lineRule="atLeast"/>
              <w:rPr>
                <w:rFonts w:ascii="PT Astra Serif" w:hAnsi="PT Astra Serif" w:cs="PT Astra Serif"/>
                <w:b/>
                <w:sz w:val="24"/>
                <w:szCs w:val="24"/>
                <w:highlight w:val="none"/>
              </w:rPr>
            </w:pPr>
            <w:r>
              <w:rPr>
                <w:rFonts w:ascii="PT Astra Serif" w:hAnsi="PT Astra Serif" w:eastAsia="PT Astra Serif" w:cs="PT Astra Serif"/>
                <w:b w:val="0"/>
                <w:bCs w:val="0"/>
                <w:sz w:val="24"/>
                <w:szCs w:val="24"/>
                <w:highlight w:val="none"/>
                <w:lang w:eastAsia="ru-RU"/>
              </w:rPr>
              <w:t xml:space="preserve">Наименование лицевого счета</w:t>
            </w:r>
            <w:r>
              <w:rPr>
                <w:rFonts w:ascii="PT Astra Serif" w:hAnsi="PT Astra Serif" w:cs="PT Astra Serif"/>
                <w:b/>
                <w:sz w:val="24"/>
                <w:szCs w:val="24"/>
                <w:highlight w:val="none"/>
              </w:rPr>
            </w:r>
            <w:r>
              <w:rPr>
                <w:rFonts w:ascii="PT Astra Serif" w:hAnsi="PT Astra Serif" w:cs="PT Astra Serif"/>
                <w:b/>
                <w:sz w:val="24"/>
                <w:szCs w:val="24"/>
                <w:highlight w:val="none"/>
              </w:rPr>
            </w:r>
          </w:p>
        </w:tc>
        <w:tc>
          <w:tcPr>
            <w:tcW w:w="2192" w:type="dxa"/>
            <w:vAlign w:val="center"/>
            <w:textDirection w:val="lrTb"/>
            <w:noWrap w:val="false"/>
          </w:tcPr>
          <w:p>
            <w:pPr>
              <w:jc w:val="center"/>
              <w:spacing w:before="0" w:beforeAutospacing="0" w:after="0" w:line="283" w:lineRule="atLeast"/>
              <w:rPr>
                <w:rFonts w:ascii="PT Astra Serif" w:hAnsi="PT Astra Serif" w:cs="PT Astra Serif"/>
                <w:b/>
                <w:sz w:val="24"/>
                <w:szCs w:val="24"/>
                <w:highlight w:val="none"/>
              </w:rPr>
            </w:pPr>
            <w:r>
              <w:rPr>
                <w:rFonts w:ascii="PT Astra Serif" w:hAnsi="PT Astra Serif" w:eastAsia="PT Astra Serif" w:cs="PT Astra Serif"/>
                <w:b w:val="0"/>
                <w:bCs w:val="0"/>
                <w:sz w:val="24"/>
                <w:szCs w:val="24"/>
                <w:highlight w:val="none"/>
                <w:lang w:eastAsia="ru-RU"/>
              </w:rPr>
              <w:t xml:space="preserve">№ лицевого счета</w:t>
            </w:r>
            <w:r>
              <w:rPr>
                <w:rFonts w:ascii="PT Astra Serif" w:hAnsi="PT Astra Serif" w:cs="PT Astra Serif"/>
                <w:b/>
                <w:sz w:val="24"/>
                <w:szCs w:val="24"/>
                <w:highlight w:val="none"/>
              </w:rPr>
            </w:r>
            <w:r>
              <w:rPr>
                <w:rFonts w:ascii="PT Astra Serif" w:hAnsi="PT Astra Serif" w:cs="PT Astra Serif"/>
                <w:b/>
                <w:sz w:val="24"/>
                <w:szCs w:val="24"/>
                <w:highlight w:val="none"/>
              </w:rPr>
            </w:r>
          </w:p>
        </w:tc>
        <w:tc>
          <w:tcPr>
            <w:tcW w:w="2410" w:type="dxa"/>
            <w:vAlign w:val="center"/>
            <w:textDirection w:val="lrTb"/>
            <w:noWrap w:val="false"/>
          </w:tcPr>
          <w:p>
            <w:pPr>
              <w:jc w:val="center"/>
              <w:spacing w:before="0" w:beforeAutospacing="0" w:after="0" w:line="283" w:lineRule="atLeast"/>
              <w:rPr>
                <w:rFonts w:ascii="PT Astra Serif" w:hAnsi="PT Astra Serif" w:cs="PT Astra Serif"/>
                <w:b/>
                <w:sz w:val="24"/>
                <w:szCs w:val="24"/>
                <w:highlight w:val="none"/>
              </w:rPr>
            </w:pPr>
            <w:r>
              <w:rPr>
                <w:rFonts w:ascii="PT Astra Serif" w:hAnsi="PT Astra Serif" w:eastAsia="PT Astra Serif" w:cs="PT Astra Serif"/>
                <w:b w:val="0"/>
                <w:bCs w:val="0"/>
                <w:sz w:val="24"/>
                <w:szCs w:val="24"/>
                <w:highlight w:val="none"/>
                <w:lang w:eastAsia="ru-RU"/>
              </w:rPr>
              <w:t xml:space="preserve">Дата открытия </w:t>
            </w:r>
            <w:r>
              <w:rPr>
                <w:rFonts w:ascii="PT Astra Serif" w:hAnsi="PT Astra Serif" w:cs="PT Astra Serif"/>
                <w:b/>
                <w:sz w:val="24"/>
                <w:szCs w:val="24"/>
                <w:highlight w:val="none"/>
              </w:rPr>
            </w:r>
            <w:r>
              <w:rPr>
                <w:rFonts w:ascii="PT Astra Serif" w:hAnsi="PT Astra Serif" w:cs="PT Astra Serif"/>
                <w:b/>
                <w:sz w:val="24"/>
                <w:szCs w:val="24"/>
                <w:highlight w:val="none"/>
              </w:rPr>
            </w:r>
          </w:p>
        </w:tc>
      </w:tr>
      <w:tr>
        <w:tblPrEx/>
        <w:trPr/>
        <w:tc>
          <w:tcPr>
            <w:gridSpan w:val="3"/>
            <w:tcW w:w="9638" w:type="dxa"/>
            <w:vAlign w:val="center"/>
            <w:vMerge w:val="restart"/>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r>
            <w:r>
              <w:rPr>
                <w:rFonts w:ascii="PT Astra Serif" w:hAnsi="PT Astra Serif" w:eastAsia="PT Astra Serif" w:cs="PT Astra Serif"/>
                <w:sz w:val="24"/>
                <w:szCs w:val="24"/>
                <w:highlight w:val="none"/>
                <w:lang w:eastAsia="ru-RU"/>
              </w:rPr>
              <w:t xml:space="preserve">в Департаменте финансов Томской области</w:t>
            </w:r>
            <w:r>
              <w:rPr>
                <w:rFonts w:ascii="PT Astra Serif" w:hAnsi="PT Astra Serif" w:cs="PT Astra Serif"/>
                <w:sz w:val="24"/>
                <w:szCs w:val="24"/>
                <w:highlight w:val="none"/>
              </w:rPr>
            </w:r>
            <w:r>
              <w:rPr>
                <w:rFonts w:ascii="PT Astra Serif" w:hAnsi="PT Astra Serif" w:cs="PT Astra Serif"/>
                <w:sz w:val="24"/>
                <w:szCs w:val="24"/>
                <w:highlight w:val="none"/>
              </w:rPr>
            </w:r>
          </w:p>
        </w:tc>
      </w:tr>
      <w:tr>
        <w:tblPrEx/>
        <w:trPr/>
        <w:tc>
          <w:tcPr>
            <w:tcW w:w="5036" w:type="dxa"/>
            <w:vAlign w:val="center"/>
            <w:textDirection w:val="lrTb"/>
            <w:noWrap w:val="false"/>
          </w:tcPr>
          <w:p>
            <w:pPr>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лицевой счет распорядителя бюджетных средств </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192" w:type="dxa"/>
            <w:vAlign w:val="center"/>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1110000000</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410" w:type="dxa"/>
            <w:vAlign w:val="center"/>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открыт с 15.01.2003</w:t>
            </w:r>
            <w:r>
              <w:rPr>
                <w:rFonts w:ascii="PT Astra Serif" w:hAnsi="PT Astra Serif" w:cs="PT Astra Serif"/>
                <w:sz w:val="24"/>
                <w:szCs w:val="24"/>
                <w:highlight w:val="none"/>
              </w:rPr>
            </w:r>
            <w:r>
              <w:rPr>
                <w:rFonts w:ascii="PT Astra Serif" w:hAnsi="PT Astra Serif" w:cs="PT Astra Serif"/>
                <w:sz w:val="24"/>
                <w:szCs w:val="24"/>
                <w:highlight w:val="none"/>
              </w:rPr>
            </w:r>
          </w:p>
        </w:tc>
      </w:tr>
      <w:tr>
        <w:tblPrEx/>
        <w:trPr/>
        <w:tc>
          <w:tcPr>
            <w:tcW w:w="5036" w:type="dxa"/>
            <w:vAlign w:val="center"/>
            <w:textDirection w:val="lrTb"/>
            <w:noWrap w:val="false"/>
          </w:tcPr>
          <w:p>
            <w:pPr>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лицевой счет получателя бюджетных средств </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192" w:type="dxa"/>
            <w:vAlign w:val="center"/>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2110029155</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410" w:type="dxa"/>
            <w:vAlign w:val="center"/>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открыт с 15.01.2003</w:t>
            </w:r>
            <w:r>
              <w:rPr>
                <w:rFonts w:ascii="PT Astra Serif" w:hAnsi="PT Astra Serif" w:cs="PT Astra Serif"/>
                <w:sz w:val="24"/>
                <w:szCs w:val="24"/>
                <w:highlight w:val="none"/>
              </w:rPr>
            </w:r>
            <w:r>
              <w:rPr>
                <w:rFonts w:ascii="PT Astra Serif" w:hAnsi="PT Astra Serif" w:cs="PT Astra Serif"/>
                <w:sz w:val="24"/>
                <w:szCs w:val="24"/>
                <w:highlight w:val="none"/>
              </w:rPr>
            </w:r>
          </w:p>
        </w:tc>
      </w:tr>
      <w:tr>
        <w:tblPrEx/>
        <w:trPr/>
        <w:tc>
          <w:tcPr>
            <w:tcW w:w="5036" w:type="dxa"/>
            <w:vAlign w:val="center"/>
            <w:textDirection w:val="lrTb"/>
            <w:noWrap w:val="false"/>
          </w:tcPr>
          <w:p>
            <w:pPr>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лицевой счет для учета операций со средствами, поступившими во временное распоряжение получателя бюджетных средств</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192" w:type="dxa"/>
            <w:vAlign w:val="center"/>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В110029155</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410" w:type="dxa"/>
            <w:vAlign w:val="center"/>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t xml:space="preserve">открыт с 02.12.2021</w:t>
            </w:r>
            <w:r>
              <w:rPr>
                <w:rFonts w:ascii="PT Astra Serif" w:hAnsi="PT Astra Serif" w:cs="PT Astra Serif"/>
                <w:sz w:val="24"/>
                <w:szCs w:val="24"/>
                <w:highlight w:val="none"/>
              </w:rPr>
            </w:r>
            <w:r>
              <w:rPr>
                <w:rFonts w:ascii="PT Astra Serif" w:hAnsi="PT Astra Serif" w:cs="PT Astra Serif"/>
                <w:sz w:val="24"/>
                <w:szCs w:val="24"/>
                <w:highlight w:val="none"/>
              </w:rPr>
            </w:r>
          </w:p>
        </w:tc>
      </w:tr>
      <w:tr>
        <w:tblPrEx/>
        <w:trPr/>
        <w:tc>
          <w:tcPr>
            <w:gridSpan w:val="3"/>
            <w:tcW w:w="9638" w:type="dxa"/>
            <w:vAlign w:val="center"/>
            <w:vMerge w:val="restart"/>
            <w:textDirection w:val="lrTb"/>
            <w:noWrap w:val="false"/>
          </w:tcPr>
          <w:p>
            <w:pPr>
              <w:jc w:val="center"/>
              <w:spacing w:before="0" w:beforeAutospacing="0" w:after="0" w:afterAutospacing="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rPr>
            </w:r>
            <w:r>
              <w:rPr>
                <w:rFonts w:ascii="PT Astra Serif" w:hAnsi="PT Astra Serif" w:eastAsia="PT Astra Serif" w:cs="PT Astra Serif"/>
                <w:sz w:val="24"/>
                <w:szCs w:val="24"/>
                <w:highlight w:val="none"/>
                <w:lang w:eastAsia="ru-RU"/>
              </w:rPr>
              <w:t xml:space="preserve">в </w:t>
            </w:r>
            <w:r>
              <w:rPr>
                <w:rFonts w:ascii="PT Astra Serif" w:hAnsi="PT Astra Serif" w:eastAsia="PT Astra Serif" w:cs="PT Astra Serif"/>
                <w:sz w:val="24"/>
                <w:szCs w:val="24"/>
                <w:highlight w:val="none"/>
                <w:lang w:eastAsia="ru-RU"/>
              </w:rPr>
              <w:t xml:space="preserve">Управлении Федерального казначейства по Томской области</w:t>
            </w:r>
            <w:r>
              <w:rPr>
                <w:rFonts w:ascii="PT Astra Serif" w:hAnsi="PT Astra Serif" w:cs="PT Astra Serif"/>
                <w:sz w:val="24"/>
                <w:szCs w:val="24"/>
                <w:highlight w:val="none"/>
              </w:rPr>
            </w:r>
            <w:r>
              <w:rPr>
                <w:rFonts w:ascii="PT Astra Serif" w:hAnsi="PT Astra Serif" w:cs="PT Astra Serif"/>
                <w:sz w:val="24"/>
                <w:szCs w:val="24"/>
                <w:highlight w:val="none"/>
              </w:rPr>
            </w:r>
          </w:p>
        </w:tc>
      </w:tr>
      <w:tr>
        <w:tblPrEx/>
        <w:trPr/>
        <w:tc>
          <w:tcPr>
            <w:tcW w:w="5036" w:type="dxa"/>
            <w:vAlign w:val="center"/>
            <w:vMerge w:val="restart"/>
            <w:textDirection w:val="lrTb"/>
            <w:noWrap w:val="false"/>
          </w:tcPr>
          <w:p>
            <w:pPr>
              <w:jc w:val="both"/>
              <w:spacing w:before="0" w:beforeAutospacing="0" w:after="0" w:line="283" w:lineRule="atLeast"/>
              <w:rPr>
                <w:rFonts w:ascii="PT Astra Serif" w:hAnsi="PT Astra Serif" w:eastAsia="PT Astra Serif" w:cs="PT Astra Serif"/>
                <w:b w:val="0"/>
                <w:bCs w:val="0"/>
                <w:sz w:val="24"/>
                <w:szCs w:val="24"/>
                <w:highlight w:val="none"/>
              </w:rPr>
            </w:pPr>
            <w:r>
              <w:rPr>
                <w:rFonts w:ascii="PT Astra Serif" w:hAnsi="PT Astra Serif" w:eastAsia="PT Astra Serif" w:cs="PT Astra Serif"/>
                <w:sz w:val="24"/>
                <w:szCs w:val="24"/>
                <w:highlight w:val="none"/>
                <w:lang w:eastAsia="ru-RU"/>
              </w:rPr>
            </w:r>
            <w:r>
              <w:rPr>
                <w:rFonts w:ascii="PT Astra Serif" w:hAnsi="PT Astra Serif" w:eastAsia="PT Astra Serif" w:cs="PT Astra Serif"/>
                <w:b w:val="0"/>
                <w:bCs w:val="0"/>
                <w:sz w:val="24"/>
                <w:szCs w:val="24"/>
                <w:highlight w:val="none"/>
              </w:rPr>
              <w:t xml:space="preserve">лицевой счет администратора доходов </w:t>
            </w: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r>
          </w:p>
          <w:p>
            <w:pPr>
              <w:jc w:val="both"/>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b w:val="0"/>
                <w:bCs w:val="0"/>
                <w:sz w:val="24"/>
                <w:szCs w:val="24"/>
                <w:highlight w:val="none"/>
              </w:rPr>
              <w:t xml:space="preserve">бюджета</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192" w:type="dxa"/>
            <w:vAlign w:val="center"/>
            <w:vMerge w:val="restart"/>
            <w:textDirection w:val="lrTb"/>
            <w:noWrap w:val="false"/>
          </w:tcPr>
          <w:p>
            <w:pPr>
              <w:jc w:val="center"/>
              <w:spacing w:before="0" w:beforeAutospacing="0" w:after="0" w:line="283" w:lineRule="atLeast"/>
              <w:rPr>
                <w:rFonts w:ascii="PT Astra Serif" w:hAnsi="PT Astra Serif" w:cs="PT Astra Serif"/>
                <w:sz w:val="24"/>
                <w:szCs w:val="24"/>
                <w:highlight w:val="none"/>
              </w:rPr>
            </w:pPr>
            <w:r>
              <w:rPr>
                <w:rFonts w:ascii="PT Astra Serif" w:hAnsi="PT Astra Serif" w:eastAsia="PT Astra Serif" w:cs="PT Astra Serif"/>
                <w:sz w:val="24"/>
                <w:szCs w:val="24"/>
                <w:highlight w:val="none"/>
                <w:lang w:eastAsia="ru-RU"/>
              </w:rPr>
            </w:r>
            <w:r>
              <w:rPr>
                <w:rFonts w:ascii="PT Astra Serif" w:hAnsi="PT Astra Serif" w:eastAsia="PT Astra Serif" w:cs="PT Astra Serif"/>
                <w:b w:val="0"/>
                <w:bCs w:val="0"/>
                <w:sz w:val="24"/>
                <w:szCs w:val="24"/>
                <w:highlight w:val="none"/>
              </w:rPr>
              <w:t xml:space="preserve">04652001470</w:t>
            </w:r>
            <w:r>
              <w:rPr>
                <w:rFonts w:ascii="PT Astra Serif" w:hAnsi="PT Astra Serif" w:cs="PT Astra Serif"/>
                <w:sz w:val="24"/>
                <w:szCs w:val="24"/>
                <w:highlight w:val="none"/>
              </w:rPr>
            </w:r>
            <w:r>
              <w:rPr>
                <w:rFonts w:ascii="PT Astra Serif" w:hAnsi="PT Astra Serif" w:cs="PT Astra Serif"/>
                <w:sz w:val="24"/>
                <w:szCs w:val="24"/>
                <w:highlight w:val="none"/>
              </w:rPr>
            </w:r>
          </w:p>
        </w:tc>
        <w:tc>
          <w:tcPr>
            <w:tcW w:w="2410" w:type="dxa"/>
            <w:vAlign w:val="center"/>
            <w:vMerge w:val="restart"/>
            <w:textDirection w:val="lrTb"/>
            <w:noWrap w:val="false"/>
          </w:tcPr>
          <w:p>
            <w:pPr>
              <w:contextualSpacing/>
              <w:jc w:val="center"/>
              <w:spacing w:before="0" w:beforeAutospacing="0" w:after="0" w:line="283" w:lineRule="atLeast"/>
              <w:rPr>
                <w:rFonts w:ascii="PT Astra Serif" w:hAnsi="PT Astra Serif" w:cs="PT Astra Serif"/>
                <w:b w:val="0"/>
                <w:bCs w:val="0"/>
                <w:sz w:val="24"/>
                <w:szCs w:val="24"/>
                <w:highlight w:val="none"/>
              </w:rPr>
            </w:pPr>
            <w:r>
              <w:rPr>
                <w:rFonts w:ascii="PT Astra Serif" w:hAnsi="PT Astra Serif" w:eastAsia="PT Astra Serif" w:cs="PT Astra Serif"/>
                <w:b w:val="0"/>
                <w:bCs w:val="0"/>
                <w:sz w:val="24"/>
                <w:szCs w:val="24"/>
                <w:highlight w:val="none"/>
              </w:rPr>
              <w:t xml:space="preserve">открыт с </w:t>
            </w:r>
            <w:r>
              <w:rPr>
                <w:rFonts w:ascii="PT Astra Serif" w:hAnsi="PT Astra Serif" w:eastAsia="PT Astra Serif" w:cs="PT Astra Serif"/>
                <w:b w:val="0"/>
                <w:bCs w:val="0"/>
                <w:sz w:val="24"/>
                <w:szCs w:val="24"/>
                <w:highlight w:val="none"/>
              </w:rPr>
              <w:t xml:space="preserve">11.01.2009</w:t>
            </w:r>
            <w:r>
              <w:rPr>
                <w:rFonts w:ascii="PT Astra Serif" w:hAnsi="PT Astra Serif" w:cs="PT Astra Serif"/>
                <w:b w:val="0"/>
                <w:bCs w:val="0"/>
                <w:sz w:val="24"/>
                <w:szCs w:val="24"/>
                <w:highlight w:val="none"/>
              </w:rPr>
            </w:r>
            <w:r>
              <w:rPr>
                <w:rFonts w:ascii="PT Astra Serif" w:hAnsi="PT Astra Serif" w:cs="PT Astra Serif"/>
                <w:b w:val="0"/>
                <w:bCs w:val="0"/>
                <w:sz w:val="24"/>
                <w:szCs w:val="24"/>
                <w:highlight w:val="none"/>
              </w:rPr>
            </w:r>
          </w:p>
        </w:tc>
      </w:tr>
    </w:tbl>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r>
      <w:r>
        <w:rPr>
          <w:rFonts w:ascii="PT Astra Serif" w:hAnsi="PT Astra Serif" w:eastAsia="PT Astra Serif" w:cs="PT Astra Serif"/>
          <w:b w:val="0"/>
          <w:bCs w:val="0"/>
          <w:sz w:val="24"/>
          <w:szCs w:val="24"/>
          <w:highlight w:val="none"/>
        </w:rPr>
        <w:tab/>
      </w:r>
      <w:r>
        <w:rPr>
          <w:rFonts w:ascii="PT Astra Serif" w:hAnsi="PT Astra Serif" w:eastAsia="PT Astra Serif" w:cs="PT Astra Serif"/>
          <w:b w:val="0"/>
          <w:bCs w:val="0"/>
          <w:sz w:val="24"/>
          <w:szCs w:val="24"/>
          <w:highlight w:val="none"/>
        </w:rPr>
        <w:t xml:space="preserve">В разделе 2 «Счета в финансовом органе» Департаментом отражена информация по лицевым счетам, открытым в финансовом органе по средствам во временном распоряжении.</w:t>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right"/>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r>
      <w:r>
        <w:rPr>
          <w:rFonts w:ascii="PT Astra Serif" w:hAnsi="PT Astra Serif" w:cs="PT Astra Serif"/>
          <w:b w:val="0"/>
          <w:bCs w:val="0"/>
          <w:highlight w:val="none"/>
        </w:rPr>
        <w:t xml:space="preserve">руб.</w:t>
      </w:r>
      <w:r>
        <w:rPr>
          <w:rFonts w:ascii="PT Astra Serif" w:hAnsi="PT Astra Serif" w:cs="PT Astra Serif"/>
          <w:b w:val="0"/>
          <w:bCs w:val="0"/>
          <w:highlight w:val="none"/>
        </w:rPr>
      </w:r>
      <w:r>
        <w:rPr>
          <w:rFonts w:ascii="PT Astra Serif" w:hAnsi="PT Astra Serif" w:cs="PT Astra Serif"/>
          <w:b w:val="0"/>
          <w:bCs w:val="0"/>
          <w:highlight w:val="none"/>
        </w:rPr>
      </w:r>
    </w:p>
    <w:tbl>
      <w:tblPr>
        <w:tblStyle w:val="762"/>
        <w:tblW w:w="0" w:type="auto"/>
        <w:tblLayout w:type="fixed"/>
        <w:tblLook w:val="04A0" w:firstRow="1" w:lastRow="0" w:firstColumn="1" w:lastColumn="0" w:noHBand="0" w:noVBand="1"/>
      </w:tblPr>
      <w:tblGrid>
        <w:gridCol w:w="4819"/>
        <w:gridCol w:w="1559"/>
        <w:gridCol w:w="1701"/>
        <w:gridCol w:w="1560"/>
      </w:tblGrid>
      <w:tr>
        <w:tblPrEx/>
        <w:trPr/>
        <w:tc>
          <w:tcPr>
            <w:tcBorders>
              <w:top w:val="single" w:color="000000" w:sz="4" w:space="0"/>
              <w:left w:val="single" w:color="000000" w:sz="4" w:space="0"/>
              <w:bottom w:val="single" w:color="000000" w:sz="4" w:space="0"/>
              <w:right w:val="single" w:color="000000" w:sz="4" w:space="0"/>
            </w:tcBorders>
            <w:tcW w:w="4819" w:type="dxa"/>
            <w:vAlign w:val="center"/>
            <w:textDirection w:val="lrTb"/>
            <w:noWrap w:val="false"/>
          </w:tcPr>
          <w:p>
            <w:pPr>
              <w:pStyle w:val="914"/>
              <w:jc w:val="center"/>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Наименование учреждения</w:t>
            </w:r>
            <w:r>
              <w:rPr>
                <w:rFonts w:ascii="PT Astra Serif" w:hAnsi="PT Astra Serif" w:cs="PT Astra Serif"/>
                <w:b w:val="0"/>
                <w:bCs w:val="0"/>
                <w:highlight w:val="none"/>
              </w:rPr>
            </w:r>
            <w:r>
              <w:rPr>
                <w:rFonts w:ascii="PT Astra Serif" w:hAnsi="PT Astra Serif" w:cs="PT Astra Serif"/>
                <w:b w:val="0"/>
                <w:bCs w:val="0"/>
                <w:highlight w:val="none"/>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914"/>
              <w:jc w:val="center"/>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 счета</w:t>
            </w:r>
            <w:r>
              <w:rPr>
                <w:rFonts w:ascii="PT Astra Serif" w:hAnsi="PT Astra Serif" w:cs="PT Astra Serif"/>
                <w:b w:val="0"/>
                <w:bCs w:val="0"/>
                <w:highlight w:val="none"/>
              </w:rPr>
            </w:r>
            <w:r>
              <w:rPr>
                <w:rFonts w:ascii="PT Astra Serif" w:hAnsi="PT Astra Serif" w:cs="PT Astra Serif"/>
                <w:b w:val="0"/>
                <w:bCs w:val="0"/>
                <w:highlight w:val="none"/>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914"/>
              <w:jc w:val="center"/>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Остаток на 01.01.2025</w:t>
            </w:r>
            <w:r>
              <w:rPr>
                <w:rFonts w:ascii="PT Astra Serif" w:hAnsi="PT Astra Serif" w:cs="PT Astra Serif"/>
                <w:b w:val="0"/>
                <w:bCs w:val="0"/>
                <w:highlight w:val="none"/>
              </w:rPr>
            </w:r>
            <w:r>
              <w:rPr>
                <w:rFonts w:ascii="PT Astra Serif" w:hAnsi="PT Astra Serif" w:cs="PT Astra Serif"/>
                <w:b w:val="0"/>
                <w:bCs w:val="0"/>
                <w:highlight w:val="none"/>
              </w:rPr>
            </w:r>
          </w:p>
        </w:tc>
        <w:tc>
          <w:tcPr>
            <w:tcBorders>
              <w:top w:val="single" w:color="000000" w:sz="4" w:space="0"/>
              <w:left w:val="single" w:color="000000" w:sz="4" w:space="0"/>
              <w:bottom w:val="single" w:color="000000" w:sz="4" w:space="0"/>
              <w:right w:val="single" w:color="000000" w:sz="4" w:space="0"/>
            </w:tcBorders>
            <w:tcW w:w="1560" w:type="dxa"/>
            <w:vAlign w:val="center"/>
            <w:textDirection w:val="lrTb"/>
            <w:noWrap w:val="false"/>
          </w:tcPr>
          <w:p>
            <w:pPr>
              <w:pStyle w:val="914"/>
              <w:jc w:val="center"/>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Остаток на 01.01.2026</w:t>
            </w:r>
            <w:r>
              <w:rPr>
                <w:rFonts w:ascii="PT Astra Serif" w:hAnsi="PT Astra Serif" w:cs="PT Astra Serif"/>
                <w:b w:val="0"/>
                <w:bCs w:val="0"/>
                <w:highlight w:val="none"/>
              </w:rPr>
            </w:r>
            <w:r>
              <w:rPr>
                <w:rFonts w:ascii="PT Astra Serif" w:hAnsi="PT Astra Serif" w:cs="PT Astra Serif"/>
                <w:b w:val="0"/>
                <w:bCs w:val="0"/>
                <w:highlight w:val="none"/>
              </w:rPr>
            </w:r>
          </w:p>
        </w:tc>
      </w:tr>
      <w:tr>
        <w:tblPrEx/>
        <w:trPr/>
        <w:tc>
          <w:tcPr>
            <w:tcBorders>
              <w:top w:val="single" w:color="000000" w:sz="4" w:space="0"/>
              <w:left w:val="single" w:color="000000" w:sz="4" w:space="0"/>
              <w:bottom w:val="single" w:color="000000" w:sz="4" w:space="0"/>
              <w:right w:val="single" w:color="000000" w:sz="4" w:space="0"/>
            </w:tcBorders>
            <w:tcW w:w="4819" w:type="dxa"/>
            <w:vAlign w:val="center"/>
            <w:textDirection w:val="lrTb"/>
            <w:noWrap w:val="false"/>
          </w:tcPr>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Департамент образования Томской области</w:t>
            </w:r>
            <w:r>
              <w:rPr>
                <w:rFonts w:ascii="PT Astra Serif" w:hAnsi="PT Astra Serif" w:cs="PT Astra Serif"/>
                <w:b w:val="0"/>
                <w:bCs w:val="0"/>
                <w:highlight w:val="none"/>
              </w:rPr>
            </w:r>
            <w:r>
              <w:rPr>
                <w:rFonts w:ascii="PT Astra Serif" w:hAnsi="PT Astra Serif" w:cs="PT Astra Serif"/>
                <w:b w:val="0"/>
                <w:bCs w:val="0"/>
                <w:highlight w:val="none"/>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914"/>
              <w:jc w:val="center"/>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В110029155</w:t>
            </w:r>
            <w:r>
              <w:rPr>
                <w:rFonts w:ascii="PT Astra Serif" w:hAnsi="PT Astra Serif" w:cs="PT Astra Serif"/>
                <w:b w:val="0"/>
                <w:bCs w:val="0"/>
                <w:highlight w:val="none"/>
              </w:rPr>
            </w:r>
            <w:r>
              <w:rPr>
                <w:rFonts w:ascii="PT Astra Serif" w:hAnsi="PT Astra Serif" w:cs="PT Astra Serif"/>
                <w:b w:val="0"/>
                <w:bCs w:val="0"/>
                <w:highlight w:val="none"/>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914"/>
              <w:jc w:val="center"/>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183 943,06</w:t>
            </w:r>
            <w:r>
              <w:rPr>
                <w:rFonts w:ascii="PT Astra Serif" w:hAnsi="PT Astra Serif" w:cs="PT Astra Serif"/>
                <w:b w:val="0"/>
                <w:bCs w:val="0"/>
                <w:highlight w:val="none"/>
              </w:rPr>
            </w:r>
            <w:r>
              <w:rPr>
                <w:rFonts w:ascii="PT Astra Serif" w:hAnsi="PT Astra Serif" w:cs="PT Astra Serif"/>
                <w:b w:val="0"/>
                <w:bCs w:val="0"/>
                <w:highlight w:val="none"/>
              </w:rPr>
            </w:r>
          </w:p>
        </w:tc>
        <w:tc>
          <w:tcPr>
            <w:tcBorders>
              <w:top w:val="single" w:color="000000" w:sz="4" w:space="0"/>
              <w:left w:val="single" w:color="000000" w:sz="4" w:space="0"/>
              <w:bottom w:val="single" w:color="000000" w:sz="4" w:space="0"/>
              <w:right w:val="single" w:color="000000" w:sz="4" w:space="0"/>
            </w:tcBorders>
            <w:tcW w:w="1560" w:type="dxa"/>
            <w:vAlign w:val="center"/>
            <w:textDirection w:val="lrTb"/>
            <w:noWrap w:val="false"/>
          </w:tcPr>
          <w:p>
            <w:pPr>
              <w:pStyle w:val="914"/>
              <w:jc w:val="center"/>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230 253,30</w:t>
            </w:r>
            <w:r>
              <w:rPr>
                <w:rFonts w:ascii="PT Astra Serif" w:hAnsi="PT Astra Serif" w:cs="PT Astra Serif"/>
                <w:b w:val="0"/>
                <w:bCs w:val="0"/>
                <w:highlight w:val="none"/>
              </w:rPr>
            </w:r>
            <w:r>
              <w:rPr>
                <w:rFonts w:ascii="PT Astra Serif" w:hAnsi="PT Astra Serif" w:cs="PT Astra Serif"/>
                <w:b w:val="0"/>
                <w:bCs w:val="0"/>
                <w:highlight w:val="none"/>
              </w:rPr>
            </w:r>
          </w:p>
        </w:tc>
      </w:tr>
    </w:tbl>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ab/>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both"/>
        <w:spacing w:before="0" w:beforeAutospacing="0" w:after="0" w:afterAutospacing="0" w:line="283" w:lineRule="atLeast"/>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ab/>
        <w:t xml:space="preserve">Остаток средств во временном распоряжении на лицевой счете Департамента согласно условиям обязательств, принятых в течение отчетного периода. Средства будут перечислены контрагентам в сроки, указанные в договорных обязательствах.</w:t>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ind w:firstLine="708"/>
        <w:jc w:val="both"/>
        <w:spacing w:before="0" w:beforeAutospacing="0" w:after="0" w:afterAutospacing="0" w:line="283" w:lineRule="atLeast"/>
        <w:tabs>
          <w:tab w:val="left" w:pos="425" w:leader="none"/>
          <w:tab w:val="left" w:pos="567" w:leader="none"/>
        </w:tabs>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t xml:space="preserve">В разделе 3 «Средства в кассе учреждения» указывается информация об остатке на отчетную дату показателей по счету 1.201.34.000 «Средства в кассе учреждения». По состоянию на 01 января остаток денежных средств в кассе Департамента отсутствует.</w:t>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ind w:firstLine="708"/>
        <w:jc w:val="both"/>
        <w:spacing w:before="0" w:beforeAutospacing="0" w:after="0" w:afterAutospacing="0" w:line="283" w:lineRule="atLeast"/>
        <w:tabs>
          <w:tab w:val="left" w:pos="425" w:leader="none"/>
          <w:tab w:val="left" w:pos="567" w:leader="none"/>
        </w:tabs>
        <w:rPr>
          <w:rFonts w:ascii="PT Astra Serif" w:hAnsi="PT Astra Serif" w:cs="PT Astra Serif"/>
          <w:b w:val="0"/>
          <w:bCs w:val="0"/>
          <w:highlight w:val="none"/>
        </w:rPr>
      </w:pPr>
      <w:r>
        <w:rPr>
          <w:rFonts w:ascii="PT Astra Serif" w:hAnsi="PT Astra Serif" w:eastAsia="PT Astra Serif" w:cs="PT Astra Serif"/>
          <w:b w:val="0"/>
          <w:bCs w:val="0"/>
          <w:sz w:val="24"/>
          <w:szCs w:val="24"/>
          <w:highlight w:val="none"/>
        </w:rPr>
      </w:r>
      <w:r>
        <w:rPr>
          <w:rFonts w:ascii="PT Astra Serif" w:hAnsi="PT Astra Serif" w:eastAsia="PT Astra Serif" w:cs="PT Astra Serif"/>
          <w:sz w:val="24"/>
          <w:szCs w:val="24"/>
          <w:highlight w:val="none"/>
          <w:lang w:eastAsia="ru-RU"/>
        </w:rPr>
        <w:t xml:space="preserve">Касса для выдачи наличных денежных сре</w:t>
      </w:r>
      <w:r>
        <w:rPr>
          <w:rFonts w:ascii="PT Astra Serif" w:hAnsi="PT Astra Serif" w:eastAsia="PT Astra Serif" w:cs="PT Astra Serif"/>
          <w:sz w:val="24"/>
          <w:szCs w:val="24"/>
          <w:highlight w:val="none"/>
          <w:lang w:eastAsia="ru-RU"/>
        </w:rPr>
        <w:t xml:space="preserve">дств </w:t>
      </w:r>
      <w:r>
        <w:rPr>
          <w:rFonts w:ascii="PT Astra Serif" w:hAnsi="PT Astra Serif" w:eastAsia="PT Astra Serif" w:cs="PT Astra Serif"/>
          <w:sz w:val="24"/>
          <w:szCs w:val="24"/>
          <w:highlight w:val="none"/>
          <w:lang w:eastAsia="ru-RU"/>
        </w:rPr>
        <w:t xml:space="preserve">в Д</w:t>
      </w:r>
      <w:r>
        <w:rPr>
          <w:rFonts w:ascii="PT Astra Serif" w:hAnsi="PT Astra Serif" w:eastAsia="PT Astra Serif" w:cs="PT Astra Serif"/>
          <w:sz w:val="24"/>
          <w:szCs w:val="24"/>
          <w:highlight w:val="none"/>
          <w:lang w:eastAsia="ru-RU"/>
        </w:rPr>
        <w:t xml:space="preserve">епартаменте отсутствует, </w:t>
      </w:r>
      <w:r>
        <w:rPr>
          <w:rFonts w:ascii="PT Astra Serif" w:hAnsi="PT Astra Serif" w:eastAsia="PT Astra Serif" w:cs="PT Astra Serif"/>
          <w:sz w:val="24"/>
          <w:szCs w:val="24"/>
          <w:highlight w:val="none"/>
          <w:lang w:eastAsia="ru-RU"/>
        </w:rPr>
        <w:t xml:space="preserve"> все расчеты осуществляются в безналичном порядке.</w:t>
      </w:r>
      <w:r>
        <w:rPr>
          <w:rFonts w:ascii="PT Astra Serif" w:hAnsi="PT Astra Serif" w:cs="PT Astra Serif"/>
          <w:b w:val="0"/>
          <w:bCs w:val="0"/>
          <w:highlight w:val="none"/>
        </w:rPr>
      </w:r>
      <w:r>
        <w:rPr>
          <w:rFonts w:ascii="PT Astra Serif" w:hAnsi="PT Astra Serif" w:cs="PT Astra Serif"/>
          <w:b w:val="0"/>
          <w:bCs w:val="0"/>
          <w:highlight w:val="none"/>
        </w:rPr>
      </w:r>
    </w:p>
    <w:p>
      <w:pPr>
        <w:pStyle w:val="914"/>
        <w:jc w:val="both"/>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r>
      <w:r>
        <w:rPr>
          <w:rFonts w:ascii="PT Astra Serif" w:hAnsi="PT Astra Serif" w:cs="PT Astra Serif"/>
          <w:sz w:val="24"/>
          <w:szCs w:val="24"/>
        </w:rPr>
      </w:r>
      <w:r>
        <w:rPr>
          <w:rFonts w:ascii="PT Astra Serif" w:hAnsi="PT Astra Serif" w:cs="PT Astra Serif"/>
          <w:sz w:val="24"/>
          <w:szCs w:val="24"/>
        </w:rPr>
      </w:r>
    </w:p>
    <w:p>
      <w:pPr>
        <w:pStyle w:val="914"/>
        <w:ind w:firstLine="708"/>
        <w:jc w:val="both"/>
        <w:spacing w:before="0" w:beforeAutospacing="0" w:after="0" w:afterAutospacing="0" w:line="283" w:lineRule="atLeast"/>
        <w:tabs>
          <w:tab w:val="left" w:pos="425" w:leader="none"/>
          <w:tab w:val="left" w:pos="567" w:leader="none"/>
        </w:tabs>
        <w:rPr>
          <w:rFonts w:ascii="PT Astra Serif" w:hAnsi="PT Astra Serif" w:cs="PT Astra Serif"/>
          <w:b/>
          <w:bCs/>
          <w:highlight w:val="none"/>
        </w:rPr>
      </w:pPr>
      <w:r>
        <w:rPr>
          <w:rFonts w:ascii="PT Astra Serif" w:hAnsi="PT Astra Serif" w:eastAsia="PT Astra Serif" w:cs="PT Astra Serif"/>
          <w:b/>
          <w:bCs/>
          <w:color w:val="000000" w:themeColor="text1"/>
          <w:sz w:val="24"/>
          <w:szCs w:val="24"/>
        </w:rPr>
      </w:r>
      <w:r>
        <w:rPr>
          <w:rFonts w:ascii="PT Astra Serif" w:hAnsi="PT Astra Serif" w:eastAsia="PT Astra Serif" w:cs="PT Astra Serif"/>
          <w:b/>
          <w:bCs/>
          <w:sz w:val="24"/>
          <w:szCs w:val="24"/>
          <w:highlight w:val="none"/>
        </w:rPr>
        <w:t xml:space="preserve">Сведения о вложениях в объекты недвижимого имущества, объектах незавершенного строительства (ф.0503190)</w:t>
      </w:r>
      <w:r>
        <w:rPr>
          <w:rFonts w:ascii="PT Astra Serif" w:hAnsi="PT Astra Serif" w:cs="PT Astra Serif"/>
          <w:b/>
          <w:bCs/>
          <w:highlight w:val="none"/>
        </w:rPr>
      </w:r>
      <w:r>
        <w:rPr>
          <w:rFonts w:ascii="PT Astra Serif" w:hAnsi="PT Astra Serif" w:cs="PT Astra Serif"/>
          <w:b/>
          <w:bCs/>
          <w:highlight w:val="none"/>
        </w:rPr>
      </w:r>
    </w:p>
    <w:p>
      <w:pPr>
        <w:pStyle w:val="914"/>
        <w:ind w:firstLine="708"/>
        <w:jc w:val="both"/>
        <w:spacing w:before="0" w:beforeAutospacing="0" w:after="0" w:afterAutospacing="0" w:line="283" w:lineRule="atLeast"/>
        <w:tabs>
          <w:tab w:val="left" w:pos="425" w:leader="none"/>
          <w:tab w:val="left" w:pos="567" w:leader="none"/>
        </w:tabs>
        <w:rPr>
          <w:rFonts w:ascii="PT Astra Serif" w:hAnsi="PT Astra Serif" w:cs="PT Astra Serif"/>
          <w:highlight w:val="none"/>
        </w:rPr>
      </w:pPr>
      <w:r>
        <w:rPr>
          <w:rFonts w:ascii="PT Astra Serif" w:hAnsi="PT Astra Serif" w:eastAsia="PT Astra Serif" w:cs="PT Astra Serif"/>
          <w:b w:val="0"/>
          <w:bCs w:val="0"/>
          <w:sz w:val="24"/>
          <w:szCs w:val="24"/>
          <w:highlight w:val="none"/>
        </w:rPr>
        <w:t xml:space="preserve">Сведения (ф.0503190) формируется согласно положениям п.173.1 </w:t>
      </w:r>
      <w:r>
        <w:rPr>
          <w:rFonts w:ascii="PT Astra Serif" w:hAnsi="PT Astra Serif" w:eastAsia="PT Astra Serif" w:cs="PT Astra Serif"/>
          <w:sz w:val="24"/>
          <w:szCs w:val="24"/>
          <w:highlight w:val="none"/>
        </w:rPr>
        <w:t xml:space="preserve">Инструкции 191н и раскрывает информацию об имеющихся на начало г</w:t>
      </w:r>
      <w:r>
        <w:rPr>
          <w:rFonts w:ascii="PT Astra Serif" w:hAnsi="PT Astra Serif" w:eastAsia="PT Astra Serif" w:cs="PT Astra Serif"/>
          <w:sz w:val="24"/>
          <w:szCs w:val="24"/>
          <w:highlight w:val="none"/>
        </w:rPr>
        <w:t xml:space="preserve">ода и на отчетную дату объектах незавершенного строительства, вложениях в объекты недвижимого имущества, источником финансового обеспечения которых являлись средства соответствующих бюджетов бюджетной системы РФ, а также вложениях, осуществленных в отчетно</w:t>
      </w:r>
      <w:r>
        <w:rPr>
          <w:rFonts w:ascii="PT Astra Serif" w:hAnsi="PT Astra Serif" w:eastAsia="PT Astra Serif" w:cs="PT Astra Serif"/>
          <w:sz w:val="24"/>
          <w:szCs w:val="24"/>
          <w:highlight w:val="none"/>
        </w:rPr>
        <w:t xml:space="preserve">м периоде (показатели по счетам 1.106.11.000 «Вложения в основные средства – недвижимое имущество учреждения», 1.106.51.000 «Вложения в недвижимое имущество государственной (муниципальной) казны», 1.106.91.000 «Вложения в недвижимое имущество концедента»).</w:t>
      </w:r>
      <w:r>
        <w:rPr>
          <w:rFonts w:ascii="PT Astra Serif" w:hAnsi="PT Astra Serif" w:cs="PT Astra Serif"/>
          <w:highlight w:val="none"/>
        </w:rPr>
      </w:r>
      <w:r>
        <w:rPr>
          <w:rFonts w:ascii="PT Astra Serif" w:hAnsi="PT Astra Serif" w:cs="PT Astra Serif"/>
          <w:highlight w:val="none"/>
        </w:rPr>
      </w:r>
    </w:p>
    <w:p>
      <w:pPr>
        <w:pStyle w:val="914"/>
        <w:ind w:firstLine="708"/>
        <w:jc w:val="both"/>
        <w:spacing w:before="0" w:beforeAutospacing="0" w:after="0" w:afterAutospacing="0" w:line="283" w:lineRule="atLeast"/>
        <w:tabs>
          <w:tab w:val="left" w:pos="425" w:leader="none"/>
          <w:tab w:val="left" w:pos="567" w:leader="none"/>
        </w:tabs>
        <w:rPr>
          <w:rFonts w:ascii="PT Astra Serif" w:hAnsi="PT Astra Serif" w:cs="PT Astra Serif"/>
          <w:highlight w:val="none"/>
        </w:rPr>
      </w:pPr>
      <w:r>
        <w:rPr>
          <w:rFonts w:ascii="PT Astra Serif" w:hAnsi="PT Astra Serif" w:eastAsia="PT Astra Serif" w:cs="PT Astra Serif"/>
          <w:sz w:val="24"/>
          <w:szCs w:val="24"/>
          <w:highlight w:val="none"/>
        </w:rPr>
        <w:t xml:space="preserve">В связи с т</w:t>
      </w:r>
      <w:r>
        <w:rPr>
          <w:rFonts w:ascii="PT Astra Serif" w:hAnsi="PT Astra Serif" w:eastAsia="PT Astra Serif" w:cs="PT Astra Serif"/>
          <w:sz w:val="24"/>
          <w:szCs w:val="24"/>
          <w:highlight w:val="none"/>
        </w:rPr>
        <w:t xml:space="preserve">ем, что Департаментом в отчетном финансовом году не производились расходы в объекты незавершенного строительства, показатели в Сведениях (ф.0503190) отсутствуют, отчетная форма в составе настоящей бюджетной отчетности не представлена (п.8 Инструкции 191н).</w:t>
      </w:r>
      <w:r>
        <w:rPr>
          <w:rFonts w:ascii="PT Astra Serif" w:hAnsi="PT Astra Serif" w:cs="PT Astra Serif"/>
          <w:highlight w:val="none"/>
        </w:rPr>
      </w:r>
      <w:r>
        <w:rPr>
          <w:rFonts w:ascii="PT Astra Serif" w:hAnsi="PT Astra Serif" w:cs="PT Astra Serif"/>
          <w:highlight w:val="none"/>
        </w:rPr>
      </w:r>
    </w:p>
    <w:p>
      <w:pPr>
        <w:pStyle w:val="914"/>
        <w:ind w:firstLine="708"/>
        <w:jc w:val="both"/>
        <w:spacing w:before="0" w:beforeAutospacing="0" w:after="0" w:afterAutospacing="0" w:line="283" w:lineRule="atLeast"/>
        <w:rPr>
          <w:rFonts w:ascii="PT Astra Serif" w:hAnsi="PT Astra Serif" w:cs="PT Astra Serif"/>
          <w:b/>
          <w:bCs/>
          <w:color w:val="ff0000"/>
          <w:sz w:val="24"/>
          <w:szCs w:val="24"/>
          <w:highlight w:val="none"/>
        </w:rPr>
      </w:pPr>
      <w:r>
        <w:rPr>
          <w:rFonts w:ascii="PT Astra Serif" w:hAnsi="PT Astra Serif" w:eastAsia="PT Astra Serif" w:cs="PT Astra Serif"/>
          <w:b/>
          <w:bCs/>
          <w:color w:val="000000" w:themeColor="text1"/>
          <w:sz w:val="24"/>
          <w:szCs w:val="24"/>
          <w:highlight w:val="none"/>
        </w:rPr>
      </w:r>
      <w:r>
        <w:rPr>
          <w:rFonts w:ascii="PT Astra Serif" w:hAnsi="PT Astra Serif" w:cs="PT Astra Serif"/>
          <w:b/>
          <w:bCs/>
          <w:color w:val="ff0000"/>
          <w:sz w:val="24"/>
          <w:szCs w:val="24"/>
          <w:highlight w:val="none"/>
        </w:rPr>
      </w:r>
      <w:r>
        <w:rPr>
          <w:rFonts w:ascii="PT Astra Serif" w:hAnsi="PT Astra Serif" w:cs="PT Astra Serif"/>
          <w:b/>
          <w:bCs/>
          <w:color w:val="ff0000"/>
          <w:sz w:val="24"/>
          <w:szCs w:val="24"/>
          <w:highlight w:val="none"/>
        </w:rPr>
      </w:r>
    </w:p>
    <w:p>
      <w:pPr>
        <w:pStyle w:val="914"/>
        <w:ind w:firstLine="708"/>
        <w:jc w:val="both"/>
        <w:spacing w:before="0" w:beforeAutospacing="0" w:after="0" w:afterAutospacing="0" w:line="283" w:lineRule="atLeast"/>
        <w:rPr>
          <w:rFonts w:ascii="PT Astra Serif" w:hAnsi="PT Astra Serif" w:cs="PT Astra Serif"/>
          <w:b/>
          <w:bCs/>
          <w:color w:val="000000" w:themeColor="text1"/>
          <w:sz w:val="24"/>
          <w:szCs w:val="24"/>
          <w:highlight w:val="none"/>
        </w:rPr>
      </w:pPr>
      <w:r>
        <w:rPr>
          <w:rFonts w:ascii="PT Astra Serif" w:hAnsi="PT Astra Serif" w:eastAsia="PT Astra Serif" w:cs="PT Astra Serif"/>
          <w:sz w:val="24"/>
          <w:szCs w:val="24"/>
        </w:rPr>
      </w:r>
      <w:r>
        <w:rPr>
          <w:rFonts w:ascii="PT Astra Serif" w:hAnsi="PT Astra Serif" w:eastAsia="PT Astra Serif" w:cs="PT Astra Serif"/>
          <w:b/>
          <w:bCs/>
          <w:color w:val="000000" w:themeColor="text1"/>
          <w:sz w:val="24"/>
          <w:szCs w:val="24"/>
          <w:u w:val="none"/>
        </w:rPr>
        <w:t xml:space="preserve">Анализ</w:t>
      </w:r>
      <w:r>
        <w:rPr>
          <w:rFonts w:ascii="PT Astra Serif" w:hAnsi="PT Astra Serif" w:eastAsia="PT Astra Serif" w:cs="PT Astra Serif"/>
          <w:b/>
          <w:bCs/>
          <w:color w:val="000000" w:themeColor="text1"/>
          <w:sz w:val="24"/>
          <w:szCs w:val="24"/>
        </w:rPr>
        <w:t xml:space="preserve"> показателей отчетности субъекта бюджетной отчетности (Таблица № 14)</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Таблица № 14 формируется согласно пункту 159.7 Инструкции 191н и отражает аналитическую информацию, характеризующую показатели бюджетной отчетности Департамента, в том числе информацию (пояснения) о некассовых операциях, отраженных в Отчете (ф.0503127).</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В связи с отсутствием:</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 в Отчете (ф.0503127) показателей по некассовым операциям информация по строке 140 Таблицы № 14 отсутствует;</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 в Сведениях (ф.0503190) показателей с кодом причин 09 и 28 в графе 7 по строкам 100 и 120, причин 09 и 28  в графе 8 по строкам 110 и 130 Таблицы № 14 информация по строке 100, 110, </w:t>
      </w:r>
      <w:r>
        <w:rPr>
          <w:rFonts w:ascii="PT Astra Serif" w:hAnsi="PT Astra Serif" w:eastAsia="PT Astra Serif" w:cs="PT Astra Serif"/>
          <w:b w:val="0"/>
          <w:bCs w:val="0"/>
          <w:color w:val="000000" w:themeColor="text1"/>
          <w:sz w:val="24"/>
          <w:szCs w:val="24"/>
          <w:highlight w:val="none"/>
        </w:rPr>
        <w:t xml:space="preserve">120 и 130 отсутствует;</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 в Сведениях (ф.0503173) информация с кодом причин 06 в разделе 1 графы 9 информация по строке 060 отсутствует.</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eastAsia="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u w:val="none"/>
        </w:rPr>
        <w:t xml:space="preserve">Причины</w:t>
      </w:r>
      <w:r>
        <w:rPr>
          <w:rFonts w:ascii="PT Astra Serif" w:hAnsi="PT Astra Serif" w:eastAsia="PT Astra Serif" w:cs="PT Astra Serif"/>
          <w:b/>
          <w:bCs/>
          <w:color w:val="000000" w:themeColor="text1"/>
          <w:sz w:val="24"/>
          <w:szCs w:val="24"/>
        </w:rPr>
        <w:t xml:space="preserve"> увеличения просроченной задолженности (Таблица № 15)</w:t>
      </w:r>
      <w:r>
        <w:rPr>
          <w:rFonts w:ascii="PT Astra Serif" w:hAnsi="PT Astra Serif" w:eastAsia="PT Astra Serif" w:cs="PT Astra Serif"/>
          <w:b/>
          <w:bCs/>
          <w:color w:val="000000" w:themeColor="text1"/>
          <w:sz w:val="24"/>
          <w:szCs w:val="24"/>
          <w:highlight w:val="none"/>
        </w:rPr>
      </w:r>
      <w:r>
        <w:rPr>
          <w:rFonts w:ascii="PT Astra Serif" w:hAnsi="PT Astra Serif" w:eastAsia="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Таблица № 15 формируется согласно положениям пункта 159.8 Инструкции 191н и отражает информацию о причинах увеличения просроченной дебиторской (кредиторской) задолженности, показатели которой отражены в графе 11 раздела 1 Сведений (ф.0503169).</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0"/>
        <w:jc w:val="center"/>
        <w:spacing w:before="0" w:beforeAutospacing="0" w:after="0" w:line="283" w:lineRule="atLeast"/>
        <w:rPr>
          <w:rFonts w:ascii="PT Astra Serif" w:hAnsi="PT Astra Serif" w:eastAsia="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r>
    </w:p>
    <w:p>
      <w:pPr>
        <w:ind w:left="0" w:right="0" w:firstLine="0"/>
        <w:jc w:val="center"/>
        <w:spacing w:before="0" w:beforeAutospacing="0" w:after="0" w:line="283" w:lineRule="atLeast"/>
        <w:rPr>
          <w:rFonts w:ascii="PT Astra Serif" w:hAnsi="PT Astra Serif" w:eastAsia="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Сегменты бюджетной отчетности Департамента</w:t>
      </w: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1. 20 муниципальных органов управления Томской области, в том числе: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bl>
      <w:tblPr>
        <w:tblStyle w:val="762"/>
        <w:tblW w:w="0" w:type="auto"/>
        <w:tblLayout w:type="fixed"/>
        <w:tblLook w:val="04A0" w:firstRow="1" w:lastRow="0" w:firstColumn="1" w:lastColumn="0" w:noHBand="0" w:noVBand="1"/>
      </w:tblPr>
      <w:tblGrid>
        <w:gridCol w:w="708"/>
        <w:gridCol w:w="8929"/>
      </w:tblGrid>
      <w:tr>
        <w:tblPrEx/>
        <w:trPr>
          <w:trHeight w:val="266"/>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6" w:space="0"/>
              <w:left w:val="single" w:color="000000" w:sz="6" w:space="0"/>
              <w:bottom w:val="single" w:color="000000" w:sz="4"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Александровский район / МКУ Александровского РОО</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59"/>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Бакчарский </w:t>
            </w:r>
            <w:r>
              <w:rPr>
                <w:rFonts w:ascii="PT Astra Serif" w:hAnsi="PT Astra Serif" w:eastAsia="PT Astra Serif" w:cs="PT Astra Serif"/>
                <w:b w:val="0"/>
                <w:bCs w:val="0"/>
                <w:i w:val="0"/>
                <w:strike w:val="0"/>
                <w:color w:val="000000"/>
                <w:sz w:val="24"/>
                <w:szCs w:val="24"/>
                <w:u w:val="none"/>
              </w:rPr>
              <w:t xml:space="preserve">район / Финансовый отдел Администрации Бакчарского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197"/>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3</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Верхнекетский </w:t>
            </w:r>
            <w:r>
              <w:rPr>
                <w:rFonts w:ascii="PT Astra Serif" w:hAnsi="PT Astra Serif" w:eastAsia="PT Astra Serif" w:cs="PT Astra Serif"/>
                <w:b w:val="0"/>
                <w:bCs w:val="0"/>
                <w:i w:val="0"/>
                <w:strike w:val="0"/>
                <w:color w:val="000000"/>
                <w:sz w:val="24"/>
                <w:szCs w:val="24"/>
                <w:u w:val="none"/>
              </w:rPr>
              <w:t xml:space="preserve">район / Верхнекетское РУО</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190"/>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4</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Зырянский </w:t>
            </w:r>
            <w:r>
              <w:rPr>
                <w:rFonts w:ascii="PT Astra Serif" w:hAnsi="PT Astra Serif" w:eastAsia="PT Astra Serif" w:cs="PT Astra Serif"/>
                <w:b w:val="0"/>
                <w:bCs w:val="0"/>
                <w:i w:val="0"/>
                <w:strike w:val="0"/>
                <w:color w:val="000000"/>
                <w:sz w:val="24"/>
                <w:szCs w:val="24"/>
                <w:u w:val="none"/>
              </w:rPr>
              <w:t xml:space="preserve">район / Управление образования Зырянского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36"/>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5</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Каргасокский </w:t>
            </w:r>
            <w:r>
              <w:rPr>
                <w:rFonts w:ascii="PT Astra Serif" w:hAnsi="PT Astra Serif" w:eastAsia="PT Astra Serif" w:cs="PT Astra Serif"/>
                <w:b w:val="0"/>
                <w:bCs w:val="0"/>
                <w:i w:val="0"/>
                <w:strike w:val="0"/>
                <w:color w:val="000000"/>
                <w:sz w:val="24"/>
                <w:szCs w:val="24"/>
                <w:u w:val="none"/>
              </w:rPr>
              <w:t xml:space="preserve">район / Управление финансов АКР, УОО и П</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89"/>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6</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sz w:val="24"/>
                <w:szCs w:val="24"/>
              </w:rPr>
            </w:r>
            <w:r>
              <w:rPr>
                <w:rFonts w:ascii="PT Astra Serif" w:hAnsi="PT Astra Serif" w:eastAsia="PT Astra Serif" w:cs="PT Astra Serif"/>
                <w:b w:val="0"/>
                <w:bCs w:val="0"/>
                <w:i w:val="0"/>
                <w:strike w:val="0"/>
                <w:color w:val="000000"/>
                <w:sz w:val="24"/>
                <w:szCs w:val="24"/>
                <w:u w:val="none"/>
              </w:rPr>
              <w:t xml:space="preserve">Первомайский </w:t>
            </w:r>
            <w:r>
              <w:rPr>
                <w:rFonts w:ascii="PT Astra Serif" w:hAnsi="PT Astra Serif" w:eastAsia="PT Astra Serif" w:cs="PT Astra Serif"/>
                <w:b w:val="0"/>
                <w:bCs w:val="0"/>
                <w:i w:val="0"/>
                <w:strike w:val="0"/>
                <w:color w:val="000000"/>
                <w:sz w:val="24"/>
                <w:szCs w:val="24"/>
                <w:u w:val="none"/>
              </w:rPr>
              <w:t xml:space="preserve">район / Первомайское РУО</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27"/>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center"/>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7</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Кожевниковский </w:t>
            </w:r>
            <w:r>
              <w:rPr>
                <w:rFonts w:ascii="PT Astra Serif" w:hAnsi="PT Astra Serif" w:eastAsia="PT Astra Serif" w:cs="PT Astra Serif"/>
                <w:b w:val="0"/>
                <w:bCs w:val="0"/>
                <w:i w:val="0"/>
                <w:strike w:val="0"/>
                <w:color w:val="000000"/>
                <w:sz w:val="24"/>
                <w:szCs w:val="24"/>
                <w:u w:val="none"/>
              </w:rPr>
              <w:t xml:space="preserve">район / Отдел образования Администрации Кожевниковского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173"/>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8</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Кривошеинский </w:t>
            </w:r>
            <w:r>
              <w:rPr>
                <w:rFonts w:ascii="PT Astra Serif" w:hAnsi="PT Astra Serif" w:eastAsia="PT Astra Serif" w:cs="PT Astra Serif"/>
                <w:b w:val="0"/>
                <w:bCs w:val="0"/>
                <w:i w:val="0"/>
                <w:strike w:val="0"/>
                <w:color w:val="000000"/>
                <w:sz w:val="24"/>
                <w:szCs w:val="24"/>
                <w:u w:val="none"/>
              </w:rPr>
              <w:t xml:space="preserve">район / МКУ «Управления образования» Кривошеинского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166"/>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center"/>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9</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Парабельский </w:t>
            </w:r>
            <w:r>
              <w:rPr>
                <w:rFonts w:ascii="PT Astra Serif" w:hAnsi="PT Astra Serif" w:eastAsia="PT Astra Serif" w:cs="PT Astra Serif"/>
                <w:b w:val="0"/>
                <w:bCs w:val="0"/>
                <w:i w:val="0"/>
                <w:strike w:val="0"/>
                <w:color w:val="000000"/>
                <w:sz w:val="24"/>
                <w:szCs w:val="24"/>
                <w:u w:val="none"/>
              </w:rPr>
              <w:t xml:space="preserve">район / МКУ Отдел образования Администрации Парабельского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46"/>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center"/>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10</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Тегульдетский </w:t>
            </w:r>
            <w:r>
              <w:rPr>
                <w:rFonts w:ascii="PT Astra Serif" w:hAnsi="PT Astra Serif" w:eastAsia="PT Astra Serif" w:cs="PT Astra Serif"/>
                <w:b w:val="0"/>
                <w:bCs w:val="0"/>
                <w:i w:val="0"/>
                <w:strike w:val="0"/>
                <w:color w:val="000000"/>
                <w:sz w:val="24"/>
                <w:szCs w:val="24"/>
                <w:u w:val="none"/>
              </w:rPr>
              <w:t xml:space="preserve">район / Районный отдел образования Администрации Тегульдетского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38"/>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center"/>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11</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Томский </w:t>
            </w:r>
            <w:r>
              <w:rPr>
                <w:rFonts w:ascii="PT Astra Serif" w:hAnsi="PT Astra Serif" w:eastAsia="PT Astra Serif" w:cs="PT Astra Serif"/>
                <w:b w:val="0"/>
                <w:bCs w:val="0"/>
                <w:i w:val="0"/>
                <w:strike w:val="0"/>
                <w:color w:val="000000"/>
                <w:sz w:val="24"/>
                <w:szCs w:val="24"/>
                <w:u w:val="none"/>
              </w:rPr>
              <w:t xml:space="preserve">район / Управление по культуре, спорту, молодежной политике и туризму Администрации Томского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31"/>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12</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Чаинский </w:t>
            </w:r>
            <w:r>
              <w:rPr>
                <w:rFonts w:ascii="PT Astra Serif" w:hAnsi="PT Astra Serif" w:eastAsia="PT Astra Serif" w:cs="PT Astra Serif"/>
                <w:b w:val="0"/>
                <w:bCs w:val="0"/>
                <w:i w:val="0"/>
                <w:strike w:val="0"/>
                <w:color w:val="000000"/>
                <w:sz w:val="24"/>
                <w:szCs w:val="24"/>
                <w:u w:val="none"/>
              </w:rPr>
              <w:t xml:space="preserve">район / Управление образования Чаинского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23"/>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13</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Шегарский </w:t>
            </w:r>
            <w:r>
              <w:rPr>
                <w:rFonts w:ascii="PT Astra Serif" w:hAnsi="PT Astra Serif" w:eastAsia="PT Astra Serif" w:cs="PT Astra Serif"/>
                <w:b w:val="0"/>
                <w:bCs w:val="0"/>
                <w:i w:val="0"/>
                <w:strike w:val="0"/>
                <w:color w:val="000000"/>
                <w:sz w:val="24"/>
                <w:szCs w:val="24"/>
                <w:u w:val="none"/>
              </w:rPr>
              <w:t xml:space="preserve">район / МКУ «Управление образования» Шегарского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16"/>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14</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г.Кедровый / Отдел образования Администрации города Кедрового</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08"/>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15</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г.Томск, в том числе:</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85"/>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15.1</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Управление культуры администрации г.Томска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184"/>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15.2</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Департамент капитального строительства администрации г.Томска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68"/>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15.3</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Департамент образования администрации г.Томска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61"/>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15.4</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Управление социальной политики администрации г.Томска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53"/>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15.5</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Управление физической культуры и спорта администрации г.Томска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154"/>
        </w:trPr>
        <w:tc>
          <w:tcPr>
            <w:tcBorders>
              <w:top w:val="single" w:color="000000" w:sz="6" w:space="0"/>
              <w:left w:val="single" w:color="000000" w:sz="6" w:space="0"/>
              <w:bottom w:val="single" w:color="000000" w:sz="6" w:space="0"/>
              <w:right w:val="single" w:color="000000" w:sz="4"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21</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4" w:space="0"/>
              <w:bottom w:val="single" w:color="000000" w:sz="4" w:space="0"/>
              <w:right w:val="single" w:color="000000" w:sz="4"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Асиновский </w:t>
            </w:r>
            <w:r>
              <w:rPr>
                <w:rFonts w:ascii="PT Astra Serif" w:hAnsi="PT Astra Serif" w:eastAsia="PT Astra Serif" w:cs="PT Astra Serif"/>
                <w:b w:val="0"/>
                <w:bCs w:val="0"/>
                <w:i w:val="0"/>
                <w:strike w:val="0"/>
                <w:color w:val="000000"/>
                <w:sz w:val="24"/>
                <w:szCs w:val="24"/>
                <w:u w:val="none"/>
              </w:rPr>
              <w:t xml:space="preserve">район / Управление образования Асиновского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22</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4"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Колпашевский </w:t>
            </w:r>
            <w:r>
              <w:rPr>
                <w:rFonts w:ascii="PT Astra Serif" w:hAnsi="PT Astra Serif" w:eastAsia="PT Astra Serif" w:cs="PT Astra Serif"/>
                <w:b w:val="0"/>
                <w:bCs w:val="0"/>
                <w:i w:val="0"/>
                <w:strike w:val="0"/>
                <w:color w:val="000000"/>
                <w:sz w:val="24"/>
                <w:szCs w:val="24"/>
                <w:u w:val="none"/>
              </w:rPr>
              <w:t xml:space="preserve">район / Управление образования Администрации Колпашевского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24"/>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23</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t xml:space="preserve">Молчановский </w:t>
            </w:r>
            <w:r>
              <w:rPr>
                <w:rFonts w:ascii="PT Astra Serif" w:hAnsi="PT Astra Serif" w:eastAsia="PT Astra Serif" w:cs="PT Astra Serif"/>
                <w:b w:val="0"/>
                <w:bCs w:val="0"/>
                <w:i w:val="0"/>
                <w:strike w:val="0"/>
                <w:color w:val="000000"/>
                <w:sz w:val="24"/>
                <w:szCs w:val="24"/>
                <w:u w:val="none"/>
              </w:rPr>
              <w:t xml:space="preserve">район / МКУ «Управление образования» Молчановского района</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24</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vertAlign w:val="baseline"/>
              </w:rPr>
            </w:r>
            <w:r>
              <w:rPr>
                <w:rFonts w:ascii="PT Astra Serif" w:hAnsi="PT Astra Serif" w:eastAsia="PT Astra Serif" w:cs="PT Astra Serif"/>
                <w:b w:val="0"/>
                <w:bCs w:val="0"/>
                <w:i w:val="0"/>
                <w:strike w:val="0"/>
                <w:color w:val="000000"/>
                <w:sz w:val="24"/>
                <w:szCs w:val="24"/>
                <w:u w:val="none"/>
              </w:rPr>
              <w:t xml:space="preserve">ЗАТО Северск, в том числе:</w:t>
            </w:r>
            <w:r>
              <w:rPr>
                <w:rFonts w:ascii="PT Astra Serif" w:hAnsi="PT Astra Serif" w:cs="PT Astra Serif"/>
                <w:b w:val="0"/>
                <w:bCs w:val="0"/>
                <w:sz w:val="24"/>
                <w:szCs w:val="24"/>
              </w:rPr>
            </w:r>
            <w:r>
              <w:rPr>
                <w:rFonts w:ascii="PT Astra Serif" w:hAnsi="PT Astra Serif" w:cs="PT Astra Serif"/>
                <w:b w:val="0"/>
                <w:bCs w:val="0"/>
                <w:sz w:val="24"/>
                <w:szCs w:val="24"/>
              </w:rPr>
            </w:r>
          </w:p>
        </w:tc>
      </w:tr>
      <w:tr>
        <w:tblPrEx/>
        <w:trPr>
          <w:trHeight w:val="2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bottom"/>
            <w:vMerge w:val="restart"/>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iCs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24.1</w:t>
            </w:r>
            <w:r>
              <w:rPr>
                <w:rFonts w:ascii="PT Astra Serif" w:hAnsi="PT Astra Serif" w:cs="PT Astra Serif"/>
                <w:b w:val="0"/>
                <w:bCs w:val="0"/>
                <w:i w:val="0"/>
                <w:iCs w:val="0"/>
                <w:strike w:val="0"/>
                <w:color w:val="000000"/>
                <w:sz w:val="24"/>
                <w:szCs w:val="24"/>
                <w:u w:val="none"/>
              </w:rPr>
            </w:r>
            <w:r>
              <w:rPr>
                <w:rFonts w:ascii="PT Astra Serif" w:hAnsi="PT Astra Serif" w:cs="PT Astra Serif"/>
                <w:b w:val="0"/>
                <w:bCs w:val="0"/>
                <w:i w:val="0"/>
                <w:iCs w:val="0"/>
                <w:strike w:val="0"/>
                <w:color w:val="000000"/>
                <w:sz w:val="24"/>
                <w:szCs w:val="24"/>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vMerge w:val="restart"/>
            <w:textDirection w:val="lrTb"/>
            <w:noWrap w:val="false"/>
          </w:tcPr>
          <w:p>
            <w:pPr>
              <w:ind w:left="142" w:right="0" w:firstLine="0"/>
              <w:spacing w:before="0" w:beforeAutospacing="0" w:after="0" w:afterAutospacing="0" w:line="283" w:lineRule="atLeast"/>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strike w:val="0"/>
                <w:color w:val="000000"/>
                <w:sz w:val="24"/>
                <w:szCs w:val="24"/>
                <w:u w:val="none"/>
              </w:rPr>
              <w:t xml:space="preserve">Управление образования Администрации ЗАТО Северск</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r>
      <w:tr>
        <w:tblPrEx/>
        <w:trPr>
          <w:trHeight w:val="2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bottom"/>
            <w:vMerge w:val="restart"/>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iCs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24.2</w:t>
            </w:r>
            <w:r>
              <w:rPr>
                <w:rFonts w:ascii="PT Astra Serif" w:hAnsi="PT Astra Serif" w:cs="PT Astra Serif"/>
                <w:b w:val="0"/>
                <w:bCs w:val="0"/>
                <w:i w:val="0"/>
                <w:iCs w:val="0"/>
                <w:strike w:val="0"/>
                <w:color w:val="000000"/>
                <w:sz w:val="24"/>
                <w:szCs w:val="24"/>
                <w:u w:val="none"/>
              </w:rPr>
            </w:r>
            <w:r>
              <w:rPr>
                <w:rFonts w:ascii="PT Astra Serif" w:hAnsi="PT Astra Serif" w:cs="PT Astra Serif"/>
                <w:b w:val="0"/>
                <w:bCs w:val="0"/>
                <w:i w:val="0"/>
                <w:iCs w:val="0"/>
                <w:strike w:val="0"/>
                <w:color w:val="000000"/>
                <w:sz w:val="24"/>
                <w:szCs w:val="24"/>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vMerge w:val="restart"/>
            <w:textDirection w:val="lrTb"/>
            <w:noWrap w:val="false"/>
          </w:tcPr>
          <w:p>
            <w:pPr>
              <w:ind w:left="142" w:right="0" w:firstLine="0"/>
              <w:spacing w:before="0" w:beforeAutospacing="0" w:after="0" w:afterAutospacing="0" w:line="283" w:lineRule="atLeast"/>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strike w:val="0"/>
                <w:color w:val="000000"/>
                <w:sz w:val="24"/>
                <w:szCs w:val="24"/>
                <w:u w:val="none"/>
              </w:rPr>
              <w:t xml:space="preserve">Управление культуры Администрации ЗАТО Северск</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r>
      <w:tr>
        <w:tblPrEx/>
        <w:trPr>
          <w:trHeight w:val="21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vMerge w:val="restart"/>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iCs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24.3</w:t>
            </w:r>
            <w:r>
              <w:rPr>
                <w:rFonts w:ascii="PT Astra Serif" w:hAnsi="PT Astra Serif" w:cs="PT Astra Serif"/>
                <w:b w:val="0"/>
                <w:bCs w:val="0"/>
                <w:i w:val="0"/>
                <w:iCs w:val="0"/>
                <w:strike w:val="0"/>
                <w:color w:val="000000"/>
                <w:sz w:val="24"/>
                <w:szCs w:val="24"/>
                <w:u w:val="none"/>
              </w:rPr>
            </w:r>
            <w:r>
              <w:rPr>
                <w:rFonts w:ascii="PT Astra Serif" w:hAnsi="PT Astra Serif" w:cs="PT Astra Serif"/>
                <w:b w:val="0"/>
                <w:bCs w:val="0"/>
                <w:i w:val="0"/>
                <w:iCs w:val="0"/>
                <w:strike w:val="0"/>
                <w:color w:val="000000"/>
                <w:sz w:val="24"/>
                <w:szCs w:val="24"/>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vMerge w:val="restart"/>
            <w:textDirection w:val="lrTb"/>
            <w:noWrap w:val="false"/>
          </w:tcPr>
          <w:p>
            <w:pPr>
              <w:ind w:left="142" w:right="0" w:firstLine="0"/>
              <w:spacing w:before="0" w:beforeAutospacing="0" w:after="0" w:afterAutospacing="0" w:line="283" w:lineRule="atLeast"/>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strike w:val="0"/>
                <w:color w:val="000000"/>
                <w:sz w:val="24"/>
                <w:szCs w:val="24"/>
                <w:u w:val="none"/>
              </w:rPr>
              <w:t xml:space="preserve">Управление молодежной и семейной политики, физической культуры и спорта Администрации ЗАТО Северск</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r>
      <w:tr>
        <w:tblPrEx/>
        <w:trPr>
          <w:trHeight w:val="19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bottom"/>
            <w:textDirection w:val="lrTb"/>
            <w:noWrap w:val="false"/>
          </w:tcPr>
          <w:p>
            <w:pPr>
              <w:ind w:left="0" w:right="0" w:firstLine="0"/>
              <w:jc w:val="center"/>
              <w:spacing w:before="0" w:beforeAutospacing="0" w:after="0" w:afterAutospacing="0" w:line="283" w:lineRule="atLeast"/>
              <w:tabs>
                <w:tab w:val="left" w:pos="567" w:leader="none"/>
              </w:tabs>
              <w:rPr>
                <w:rFonts w:ascii="PT Astra Serif" w:hAnsi="PT Astra Serif" w:cs="PT Astra Serif"/>
                <w:b w:val="0"/>
                <w:bCs w:val="0"/>
                <w:i w:val="0"/>
                <w:strike w:val="0"/>
                <w:color w:val="000000"/>
                <w:sz w:val="24"/>
                <w:szCs w:val="24"/>
                <w:u w:val="none"/>
              </w:rPr>
            </w:pPr>
            <w:r>
              <w:rPr>
                <w:rFonts w:ascii="PT Astra Serif" w:hAnsi="PT Astra Serif" w:eastAsia="PT Astra Serif" w:cs="PT Astra Serif"/>
                <w:b w:val="0"/>
                <w:bCs w:val="0"/>
                <w:i w:val="0"/>
                <w:iCs w:val="0"/>
                <w:strike w:val="0"/>
                <w:color w:val="000000"/>
                <w:sz w:val="24"/>
                <w:szCs w:val="24"/>
                <w:u w:val="none"/>
              </w:rPr>
              <w:t xml:space="preserve">25</w:t>
            </w:r>
            <w:r>
              <w:rPr>
                <w:rFonts w:ascii="PT Astra Serif" w:hAnsi="PT Astra Serif" w:cs="PT Astra Serif"/>
                <w:b w:val="0"/>
                <w:bCs w:val="0"/>
                <w:i w:val="0"/>
                <w:strike w:val="0"/>
                <w:color w:val="000000"/>
                <w:sz w:val="24"/>
                <w:szCs w:val="24"/>
                <w:u w:val="none"/>
              </w:rPr>
            </w:r>
            <w:r>
              <w:rPr>
                <w:rFonts w:ascii="PT Astra Serif" w:hAnsi="PT Astra Serif" w:cs="PT Astra Serif"/>
                <w:b w:val="0"/>
                <w:bCs w:val="0"/>
                <w:i w:val="0"/>
                <w:strike w:val="0"/>
                <w:color w:val="000000"/>
                <w:sz w:val="24"/>
                <w:szCs w:val="24"/>
                <w:u w:val="none"/>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b w:val="0"/>
                <w:bCs w:val="0"/>
                <w:sz w:val="24"/>
                <w:szCs w:val="24"/>
              </w:rPr>
            </w:pPr>
            <w:r>
              <w:rPr>
                <w:rFonts w:ascii="PT Astra Serif" w:hAnsi="PT Astra Serif" w:eastAsia="PT Astra Serif" w:cs="PT Astra Serif"/>
                <w:b w:val="0"/>
                <w:bCs w:val="0"/>
                <w:i w:val="0"/>
                <w:strike w:val="0"/>
                <w:color w:val="000000"/>
                <w:sz w:val="24"/>
                <w:szCs w:val="24"/>
                <w:u w:val="none"/>
              </w:rPr>
              <w:t xml:space="preserve">ГО Стрежевой / ФУ Администрации городского округа Стрежевой</w:t>
            </w:r>
            <w:r>
              <w:rPr>
                <w:rFonts w:ascii="PT Astra Serif" w:hAnsi="PT Astra Serif" w:cs="PT Astra Serif"/>
                <w:b w:val="0"/>
                <w:bCs w:val="0"/>
                <w:sz w:val="24"/>
                <w:szCs w:val="24"/>
              </w:rPr>
            </w:r>
            <w:r>
              <w:rPr>
                <w:rFonts w:ascii="PT Astra Serif" w:hAnsi="PT Astra Serif" w:cs="PT Astra Serif"/>
                <w:b w:val="0"/>
                <w:bCs w:val="0"/>
                <w:sz w:val="24"/>
                <w:szCs w:val="24"/>
              </w:rPr>
            </w:r>
          </w:p>
        </w:tc>
      </w:tr>
    </w:tbl>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2. 39 областных государственных учреждений, в отношении которых Департамент выполняет функции и полномочия учредителя, в том числе: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tbl>
      <w:tblPr>
        <w:tblStyle w:val="762"/>
        <w:tblW w:w="0" w:type="auto"/>
        <w:tblLayout w:type="fixed"/>
        <w:tblLook w:val="04A0" w:firstRow="1" w:lastRow="0" w:firstColumn="1" w:lastColumn="0" w:noHBand="0" w:noVBand="1"/>
      </w:tblPr>
      <w:tblGrid>
        <w:gridCol w:w="708"/>
        <w:gridCol w:w="8929"/>
      </w:tblGrid>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«ТМТТ»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«ТБМК»</w:t>
            </w:r>
            <w:r>
              <w:rPr>
                <w:rFonts w:ascii="PT Astra Serif" w:hAnsi="PT Astra Serif" w:cs="PT Astra Serif"/>
                <w:sz w:val="24"/>
                <w:szCs w:val="24"/>
              </w:rPr>
            </w:r>
            <w:r>
              <w:rPr>
                <w:rFonts w:ascii="PT Astra Serif" w:hAnsi="PT Astra Serif" w:cs="PT Astra Serif"/>
                <w:sz w:val="24"/>
                <w:szCs w:val="24"/>
              </w:rPr>
            </w:r>
          </w:p>
        </w:tc>
      </w:tr>
      <w:tr>
        <w:tblPrEx/>
        <w:trPr>
          <w:trHeight w:val="29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«ТГПК»</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4</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«МТОТ»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5</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«ТТИТ»</w:t>
            </w:r>
            <w:r>
              <w:rPr>
                <w:rFonts w:ascii="PT Astra Serif" w:hAnsi="PT Astra Serif" w:cs="PT Astra Serif"/>
                <w:sz w:val="24"/>
                <w:szCs w:val="24"/>
              </w:rPr>
            </w:r>
            <w:r>
              <w:rPr>
                <w:rFonts w:ascii="PT Astra Serif" w:hAnsi="PT Astra Serif" w:cs="PT Astra Serif"/>
                <w:sz w:val="24"/>
                <w:szCs w:val="24"/>
              </w:rPr>
            </w:r>
          </w:p>
        </w:tc>
      </w:tr>
      <w:tr>
        <w:tblPrEx/>
        <w:trPr>
          <w:trHeight w:val="317"/>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6</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«АТпромИС»</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7</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«КАПТ»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8</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«КИПТСУ»</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9</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«КТАБ»</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«КТПРТ»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11</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«ШТИТ»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12</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«СПК»</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13</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«ТКГТ»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14</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«ТАК»</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15</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«ТКСТ»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16</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«ТПГК»</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17</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«ТЭПК»</w:t>
            </w:r>
            <w:r>
              <w:rPr>
                <w:rFonts w:ascii="PT Astra Serif" w:hAnsi="PT Astra Serif" w:cs="PT Astra Serif"/>
                <w:sz w:val="24"/>
                <w:szCs w:val="24"/>
              </w:rPr>
            </w:r>
            <w:r>
              <w:rPr>
                <w:rFonts w:ascii="PT Astra Serif" w:hAnsi="PT Astra Serif" w:cs="PT Astra Serif"/>
                <w:sz w:val="24"/>
                <w:szCs w:val="24"/>
              </w:rPr>
            </w:r>
          </w:p>
        </w:tc>
      </w:tr>
      <w:tr>
        <w:tblPrEx/>
        <w:trPr>
          <w:trHeight w:val="324"/>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18</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«ТомИнТех»</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19</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«ТТВТС»</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«ТПТ»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21</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«КСПК»</w:t>
            </w:r>
            <w:r>
              <w:rPr>
                <w:rFonts w:ascii="PT Astra Serif" w:hAnsi="PT Astra Serif" w:cs="PT Astra Serif"/>
                <w:sz w:val="24"/>
                <w:szCs w:val="24"/>
              </w:rPr>
            </w:r>
            <w:r>
              <w:rPr>
                <w:rFonts w:ascii="PT Astra Serif" w:hAnsi="PT Astra Serif" w:cs="PT Astra Serif"/>
                <w:sz w:val="24"/>
                <w:szCs w:val="24"/>
              </w:rPr>
            </w:r>
          </w:p>
        </w:tc>
      </w:tr>
      <w:tr>
        <w:tblPrEx/>
        <w:trPr>
          <w:trHeight w:val="271"/>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22</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«ТТСТ»</w:t>
            </w:r>
            <w:r>
              <w:rPr>
                <w:rFonts w:ascii="PT Astra Serif" w:hAnsi="PT Astra Serif" w:cs="PT Astra Serif"/>
                <w:sz w:val="24"/>
                <w:szCs w:val="24"/>
              </w:rPr>
            </w:r>
            <w:r>
              <w:rPr>
                <w:rFonts w:ascii="PT Astra Serif" w:hAnsi="PT Astra Serif" w:cs="PT Astra Serif"/>
                <w:sz w:val="24"/>
                <w:szCs w:val="24"/>
              </w:rPr>
            </w:r>
          </w:p>
        </w:tc>
      </w:tr>
      <w:tr>
        <w:tblPrEx/>
        <w:trPr>
          <w:trHeight w:val="31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23</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bottom"/>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ОГБПОУ «ТЛТ»</w:t>
            </w:r>
            <w:r>
              <w:rPr>
                <w:rFonts w:ascii="PT Astra Serif" w:hAnsi="PT Astra Serif" w:cs="PT Astra Serif"/>
                <w:sz w:val="24"/>
                <w:szCs w:val="24"/>
              </w:rPr>
            </w:r>
            <w:r>
              <w:rPr>
                <w:rFonts w:ascii="PT Astra Serif" w:hAnsi="PT Astra Serif" w:cs="PT Astra Serif"/>
                <w:sz w:val="24"/>
                <w:szCs w:val="24"/>
              </w:rPr>
            </w:r>
          </w:p>
        </w:tc>
      </w:tr>
      <w:tr>
        <w:tblPrEx/>
        <w:trPr>
          <w:trHeight w:val="351"/>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24</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ОГБУ «ЦОПП»</w:t>
            </w:r>
            <w:r>
              <w:rPr>
                <w:rFonts w:ascii="PT Astra Serif" w:hAnsi="PT Astra Serif" w:cs="PT Astra Serif"/>
                <w:sz w:val="24"/>
                <w:szCs w:val="24"/>
              </w:rPr>
            </w:r>
            <w:r>
              <w:rPr>
                <w:rFonts w:ascii="PT Astra Serif" w:hAnsi="PT Astra Serif" w:cs="PT Astra Serif"/>
                <w:sz w:val="24"/>
                <w:szCs w:val="24"/>
              </w:rPr>
            </w:r>
          </w:p>
        </w:tc>
      </w:tr>
      <w:tr>
        <w:tblPrEx/>
        <w:trPr>
          <w:trHeight w:val="268"/>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25</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«ТОИПКРО»</w:t>
            </w:r>
            <w:r>
              <w:rPr>
                <w:rFonts w:ascii="PT Astra Serif" w:hAnsi="PT Astra Serif" w:cs="PT Astra Serif"/>
                <w:sz w:val="24"/>
                <w:szCs w:val="24"/>
              </w:rPr>
            </w:r>
            <w:r>
              <w:rPr>
                <w:rFonts w:ascii="PT Astra Serif" w:hAnsi="PT Astra Serif" w:cs="PT Astra Serif"/>
                <w:sz w:val="24"/>
                <w:szCs w:val="24"/>
              </w:rPr>
            </w:r>
          </w:p>
        </w:tc>
      </w:tr>
      <w:tr>
        <w:tblPrEx/>
        <w:trPr>
          <w:trHeight w:val="254"/>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26</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ОГАОУ «Интеграция»</w:t>
            </w:r>
            <w:r>
              <w:rPr>
                <w:rFonts w:ascii="PT Astra Serif" w:hAnsi="PT Astra Serif" w:cs="PT Astra Serif"/>
                <w:sz w:val="24"/>
                <w:szCs w:val="24"/>
              </w:rPr>
            </w:r>
            <w:r>
              <w:rPr>
                <w:rFonts w:ascii="PT Astra Serif" w:hAnsi="PT Astra Serif" w:cs="PT Astra Serif"/>
                <w:sz w:val="24"/>
                <w:szCs w:val="24"/>
              </w:rPr>
            </w:r>
          </w:p>
        </w:tc>
      </w:tr>
      <w:tr>
        <w:tblPrEx/>
        <w:trPr>
          <w:trHeight w:val="523"/>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27</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«Уртамская школа-интернат для обучающихся с ограниченными возможностями здоровья имени Ю.И. Ромашовой»</w:t>
            </w:r>
            <w:r>
              <w:rPr>
                <w:rFonts w:ascii="PT Astra Serif" w:hAnsi="PT Astra Serif" w:cs="PT Astra Serif"/>
                <w:sz w:val="24"/>
                <w:szCs w:val="24"/>
              </w:rPr>
            </w:r>
            <w:r>
              <w:rPr>
                <w:rFonts w:ascii="PT Astra Serif" w:hAnsi="PT Astra Serif" w:cs="PT Astra Serif"/>
                <w:sz w:val="24"/>
                <w:szCs w:val="24"/>
              </w:rPr>
            </w:r>
          </w:p>
        </w:tc>
      </w:tr>
      <w:tr>
        <w:tblPrEx/>
        <w:trPr>
          <w:trHeight w:val="509"/>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28</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«Шегарская школа-интернат для обучающихся с ограниченными возможностями здоровья»</w:t>
            </w:r>
            <w:r>
              <w:rPr>
                <w:rFonts w:ascii="PT Astra Serif" w:hAnsi="PT Astra Serif" w:cs="PT Astra Serif"/>
                <w:sz w:val="24"/>
                <w:szCs w:val="24"/>
              </w:rPr>
            </w:r>
            <w:r>
              <w:rPr>
                <w:rFonts w:ascii="PT Astra Serif" w:hAnsi="PT Astra Serif" w:cs="PT Astra Serif"/>
                <w:sz w:val="24"/>
                <w:szCs w:val="24"/>
              </w:rPr>
            </w:r>
          </w:p>
        </w:tc>
      </w:tr>
      <w:tr>
        <w:tblPrEx/>
        <w:trPr>
          <w:trHeight w:val="268"/>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29</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jc w:val="left"/>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ОГБОУДО «Региональный центр воспитания»</w:t>
            </w:r>
            <w:r>
              <w:rPr>
                <w:rFonts w:ascii="PT Astra Serif" w:hAnsi="PT Astra Serif" w:cs="PT Astra Serif"/>
                <w:sz w:val="24"/>
                <w:szCs w:val="24"/>
              </w:rPr>
            </w:r>
            <w:r>
              <w:rPr>
                <w:rFonts w:ascii="PT Astra Serif" w:hAnsi="PT Astra Serif" w:cs="PT Astra Serif"/>
                <w:sz w:val="24"/>
                <w:szCs w:val="24"/>
              </w:rPr>
            </w:r>
          </w:p>
        </w:tc>
      </w:tr>
      <w:tr>
        <w:tblPrEx/>
        <w:trPr>
          <w:trHeight w:val="254"/>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30</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«ТФТЛ»</w:t>
            </w:r>
            <w:r>
              <w:rPr>
                <w:rFonts w:ascii="PT Astra Serif" w:hAnsi="PT Astra Serif" w:cs="PT Astra Serif"/>
                <w:sz w:val="24"/>
                <w:szCs w:val="24"/>
              </w:rPr>
            </w:r>
            <w:r>
              <w:rPr>
                <w:rFonts w:ascii="PT Astra Serif" w:hAnsi="PT Astra Serif" w:cs="PT Astra Serif"/>
                <w:sz w:val="24"/>
                <w:szCs w:val="24"/>
              </w:rPr>
            </w:r>
          </w:p>
        </w:tc>
      </w:tr>
      <w:tr>
        <w:tblPrEx/>
        <w:trPr>
          <w:trHeight w:val="239"/>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31</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jc w:val="left"/>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«Школа-интернат для обучающихся с нарушениями слуха»</w:t>
            </w:r>
            <w:r>
              <w:rPr>
                <w:rFonts w:ascii="PT Astra Serif" w:hAnsi="PT Astra Serif" w:cs="PT Astra Serif"/>
                <w:sz w:val="24"/>
                <w:szCs w:val="24"/>
              </w:rPr>
            </w:r>
            <w:r>
              <w:rPr>
                <w:rFonts w:ascii="PT Astra Serif" w:hAnsi="PT Astra Serif" w:cs="PT Astra Serif"/>
                <w:sz w:val="24"/>
                <w:szCs w:val="24"/>
              </w:rPr>
            </w:r>
          </w:p>
        </w:tc>
      </w:tr>
      <w:tr>
        <w:tblPrEx/>
        <w:trPr>
          <w:trHeight w:val="22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32</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«Школа-интернат для обучающихся, нуждающихся в психолого-педагогической и медико-социальной помощи»</w:t>
            </w:r>
            <w:r>
              <w:rPr>
                <w:rFonts w:ascii="PT Astra Serif" w:hAnsi="PT Astra Serif" w:cs="PT Astra Serif"/>
                <w:sz w:val="24"/>
                <w:szCs w:val="24"/>
              </w:rPr>
            </w:r>
            <w:r>
              <w:rPr>
                <w:rFonts w:ascii="PT Astra Serif" w:hAnsi="PT Astra Serif" w:cs="PT Astra Serif"/>
                <w:sz w:val="24"/>
                <w:szCs w:val="24"/>
              </w:rPr>
            </w:r>
          </w:p>
        </w:tc>
      </w:tr>
      <w:tr>
        <w:tblPrEx/>
        <w:trPr>
          <w:trHeight w:val="353"/>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33</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КШИ «Колпашевский кадетский корпус»</w:t>
            </w:r>
            <w:r>
              <w:rPr>
                <w:rFonts w:ascii="PT Astra Serif" w:hAnsi="PT Astra Serif" w:cs="PT Astra Serif"/>
                <w:sz w:val="24"/>
                <w:szCs w:val="24"/>
              </w:rPr>
            </w:r>
            <w:r>
              <w:rPr>
                <w:rFonts w:ascii="PT Astra Serif" w:hAnsi="PT Astra Serif" w:cs="PT Astra Serif"/>
                <w:sz w:val="24"/>
                <w:szCs w:val="24"/>
              </w:rPr>
            </w:r>
          </w:p>
        </w:tc>
      </w:tr>
      <w:tr>
        <w:tblPrEx/>
        <w:trPr>
          <w:trHeight w:val="268"/>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34</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«Моряковская школа-интернат для обучающихся с ограниченными возможностями здоровья»</w:t>
            </w:r>
            <w:r>
              <w:rPr>
                <w:rFonts w:ascii="PT Astra Serif" w:hAnsi="PT Astra Serif" w:cs="PT Astra Serif"/>
                <w:sz w:val="24"/>
                <w:szCs w:val="24"/>
              </w:rPr>
            </w:r>
            <w:r>
              <w:rPr>
                <w:rFonts w:ascii="PT Astra Serif" w:hAnsi="PT Astra Serif" w:cs="PT Astra Serif"/>
                <w:sz w:val="24"/>
                <w:szCs w:val="24"/>
              </w:rPr>
            </w:r>
          </w:p>
        </w:tc>
      </w:tr>
      <w:tr>
        <w:tblPrEx/>
        <w:trPr>
          <w:trHeight w:val="283"/>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35</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«Школа-интернат для обучающихся с нарушениями зрения»</w:t>
            </w:r>
            <w:r>
              <w:rPr>
                <w:rFonts w:ascii="PT Astra Serif" w:hAnsi="PT Astra Serif" w:cs="PT Astra Serif"/>
                <w:sz w:val="24"/>
                <w:szCs w:val="24"/>
              </w:rPr>
            </w:r>
            <w:r>
              <w:rPr>
                <w:rFonts w:ascii="PT Astra Serif" w:hAnsi="PT Astra Serif" w:cs="PT Astra Serif"/>
                <w:sz w:val="24"/>
                <w:szCs w:val="24"/>
              </w:rPr>
            </w:r>
          </w:p>
        </w:tc>
      </w:tr>
      <w:tr>
        <w:tblPrEx/>
        <w:trPr>
          <w:trHeight w:val="240"/>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36</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«Александровская школа-интернат»</w:t>
            </w:r>
            <w:r>
              <w:rPr>
                <w:rFonts w:ascii="PT Astra Serif" w:hAnsi="PT Astra Serif" w:cs="PT Astra Serif"/>
                <w:sz w:val="24"/>
                <w:szCs w:val="24"/>
              </w:rPr>
            </w:r>
            <w:r>
              <w:rPr>
                <w:rFonts w:ascii="PT Astra Serif" w:hAnsi="PT Astra Serif" w:cs="PT Astra Serif"/>
                <w:sz w:val="24"/>
                <w:szCs w:val="24"/>
              </w:rPr>
            </w:r>
          </w:p>
        </w:tc>
      </w:tr>
      <w:tr>
        <w:tblPrEx/>
        <w:trPr>
          <w:trHeight w:val="283"/>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37</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Кадетская школа-интернат «Северский кадетский корпус»</w:t>
            </w:r>
            <w:r>
              <w:rPr>
                <w:rFonts w:ascii="PT Astra Serif" w:hAnsi="PT Astra Serif" w:cs="PT Astra Serif"/>
                <w:sz w:val="24"/>
                <w:szCs w:val="24"/>
              </w:rPr>
            </w:r>
            <w:r>
              <w:rPr>
                <w:rFonts w:ascii="PT Astra Serif" w:hAnsi="PT Astra Serif" w:cs="PT Astra Serif"/>
                <w:sz w:val="24"/>
                <w:szCs w:val="24"/>
              </w:rPr>
            </w:r>
          </w:p>
        </w:tc>
      </w:tr>
      <w:tr>
        <w:tblPrEx/>
        <w:trPr>
          <w:trHeight w:val="425"/>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38</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ОГБОУ КШИ «Томский кадетский корпус» имени Героя Российской Федерации Пескового Максима Владимировича</w:t>
            </w:r>
            <w:r>
              <w:rPr>
                <w:rFonts w:ascii="PT Astra Serif" w:hAnsi="PT Astra Serif" w:cs="PT Astra Serif"/>
                <w:sz w:val="24"/>
                <w:szCs w:val="24"/>
              </w:rPr>
            </w:r>
            <w:r>
              <w:rPr>
                <w:rFonts w:ascii="PT Astra Serif" w:hAnsi="PT Astra Serif" w:cs="PT Astra Serif"/>
                <w:sz w:val="24"/>
                <w:szCs w:val="24"/>
              </w:rPr>
            </w:r>
          </w:p>
        </w:tc>
      </w:tr>
      <w:tr>
        <w:tblPrEx/>
        <w:trPr>
          <w:trHeight w:val="268"/>
        </w:trPr>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8" w:type="dxa"/>
            <w:vAlign w:val="center"/>
            <w:textDirection w:val="lrTb"/>
            <w:noWrap w:val="false"/>
          </w:tcPr>
          <w:p>
            <w:pPr>
              <w:jc w:val="center"/>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39</w:t>
            </w:r>
            <w:r>
              <w:rPr>
                <w:rFonts w:ascii="PT Astra Serif" w:hAnsi="PT Astra Serif" w:cs="PT Astra Serif"/>
                <w:sz w:val="24"/>
                <w:szCs w:val="24"/>
              </w:rPr>
            </w:r>
            <w:r>
              <w:rPr>
                <w:rFonts w:ascii="PT Astra Serif" w:hAnsi="PT Astra Serif" w:cs="PT Astra Serif"/>
                <w:sz w:val="24"/>
                <w:szCs w:val="24"/>
              </w:rPr>
            </w:r>
          </w:p>
        </w:tc>
        <w:tc>
          <w:tcPr>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8929" w:type="dxa"/>
            <w:vAlign w:val="center"/>
            <w:textDirection w:val="lrTb"/>
            <w:noWrap w:val="false"/>
          </w:tcPr>
          <w:p>
            <w:pPr>
              <w:ind w:left="142" w:right="0" w:firstLine="0"/>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b w:val="0"/>
                <w:i w:val="0"/>
                <w:strike w:val="0"/>
                <w:color w:val="000000"/>
                <w:sz w:val="24"/>
                <w:szCs w:val="24"/>
                <w:u w:val="none"/>
                <w:vertAlign w:val="baseline"/>
              </w:rPr>
              <w:t xml:space="preserve">ОГАОУ «Губернаторский Светленский лицей»</w:t>
            </w:r>
            <w:r>
              <w:rPr>
                <w:rFonts w:ascii="PT Astra Serif" w:hAnsi="PT Astra Serif" w:cs="PT Astra Serif"/>
                <w:sz w:val="24"/>
                <w:szCs w:val="24"/>
              </w:rPr>
            </w:r>
            <w:r>
              <w:rPr>
                <w:rFonts w:ascii="PT Astra Serif" w:hAnsi="PT Astra Serif" w:cs="PT Astra Serif"/>
                <w:sz w:val="24"/>
                <w:szCs w:val="24"/>
              </w:rPr>
            </w:r>
          </w:p>
        </w:tc>
      </w:tr>
    </w:tbl>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3. АНО «Детский технопарк «Кванториум»;</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4. контрагенты – поставщики товаров, работ (услуг), получатели грантов, компенсационных выплат, в том числе физические лица (расчеты по договорам ГПХ</w:t>
      </w:r>
      <w:r>
        <w:rPr>
          <w:rFonts w:ascii="PT Astra Serif" w:hAnsi="PT Astra Serif" w:eastAsia="PT Astra Serif" w:cs="PT Astra Serif"/>
          <w:b w:val="0"/>
          <w:bCs w:val="0"/>
          <w:color w:val="000000" w:themeColor="text1"/>
          <w:sz w:val="24"/>
          <w:szCs w:val="24"/>
          <w:highlight w:val="none"/>
        </w:rPr>
        <w:t xml:space="preserve">), педагоги, муниципальные образовательные учреждения Томской области, общества с ограниченной ответственностью, Управление Федеральной почтовой связи, публичные акционерные общества, ОГБСУ «Областное имущественное казначейство», автономные некоммерческие </w:t>
      </w:r>
      <w:r>
        <w:rPr>
          <w:rFonts w:ascii="PT Astra Serif" w:hAnsi="PT Astra Serif" w:eastAsia="PT Astra Serif" w:cs="PT Astra Serif"/>
          <w:b w:val="0"/>
          <w:bCs w:val="0"/>
          <w:color w:val="000000" w:themeColor="text1"/>
          <w:sz w:val="24"/>
          <w:szCs w:val="24"/>
          <w:highlight w:val="none"/>
        </w:rPr>
        <w:t xml:space="preserve">организации, закрытые акционерные общества, НОЧУ ОДПО «Актион», индивидуальные предприниматели, ОГКУ «Государственный архив Томской области», ФГКУ «УВО ВНГ России по Томской области», ОГАУЗ «ТКБП», ЧОУ ДПО «МУЦ ПК г. Томска», управление судебных приставов.</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0"/>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eastAsia="PT Astra Serif" w:cs="PT Astra Serif"/>
          <w:b w:val="0"/>
          <w:bCs w:val="0"/>
          <w:color w:val="000000" w:themeColor="text1"/>
          <w:sz w:val="24"/>
          <w:szCs w:val="24"/>
          <w:highlight w:val="none"/>
        </w:rPr>
        <w:t xml:space="preserve">Раздел 5 «Прочие вопросы деятельности субъекта бюджетной отчетности»</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540"/>
        <w:jc w:val="center"/>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highlight w:val="none"/>
        </w:rPr>
        <w:t xml:space="preserve">Сведения об основных положениях учетной политики (Таблица № 4)</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Таблица № 4 «Сведения об основных положениях учетной политики» формируется согласно пункту 156 Инструкции 191н и характеризует основные положения учетной политики субъекта бюджетной отчетности, раскрывающие за отчетный период особенности отражен</w:t>
      </w:r>
      <w:r>
        <w:rPr>
          <w:rFonts w:ascii="PT Astra Serif" w:hAnsi="PT Astra Serif" w:eastAsia="PT Astra Serif" w:cs="PT Astra Serif"/>
          <w:b w:val="0"/>
          <w:bCs w:val="0"/>
          <w:color w:val="000000" w:themeColor="text1"/>
          <w:sz w:val="24"/>
          <w:szCs w:val="24"/>
          <w:highlight w:val="none"/>
        </w:rPr>
        <w:t xml:space="preserve">ия в бюджетном учете операций с активами и обязательствами в части установленного нормативными правовыми актами, регулирующими ведение Департаментом бюджетного учета, права самостоятельного определения таких особенностей и отраслевых особенностей бюджетног</w:t>
      </w:r>
      <w:r>
        <w:rPr>
          <w:rFonts w:ascii="PT Astra Serif" w:hAnsi="PT Astra Serif" w:eastAsia="PT Astra Serif" w:cs="PT Astra Serif"/>
          <w:b w:val="0"/>
          <w:bCs w:val="0"/>
          <w:color w:val="000000" w:themeColor="text1"/>
          <w:sz w:val="24"/>
          <w:szCs w:val="24"/>
          <w:highlight w:val="none"/>
        </w:rPr>
        <w:t xml:space="preserve">о учета.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0"/>
        <w:jc w:val="both"/>
        <w:spacing w:before="0" w:beforeAutospacing="0" w:after="0" w:line="283" w:lineRule="atLeast"/>
        <w:rPr>
          <w:rFonts w:ascii="PT Astra Serif" w:hAnsi="PT Astra Serif" w:cs="PT Astra Serif"/>
          <w:b/>
          <w:bCs/>
          <w:color w:val="000000" w:themeColor="text1"/>
          <w:sz w:val="24"/>
          <w:szCs w:val="24"/>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rPr>
      </w:r>
      <w:r>
        <w:rPr>
          <w:rFonts w:ascii="PT Astra Serif" w:hAnsi="PT Astra Serif" w:cs="PT Astra Serif"/>
          <w:b/>
          <w:bCs/>
          <w:color w:val="000000" w:themeColor="text1"/>
          <w:sz w:val="24"/>
          <w:szCs w:val="24"/>
        </w:rPr>
      </w:r>
      <w:r>
        <w:rPr>
          <w:rFonts w:ascii="PT Astra Serif" w:hAnsi="PT Astra Serif" w:cs="PT Astra Serif"/>
          <w:b/>
          <w:bCs/>
          <w:color w:val="000000" w:themeColor="text1"/>
          <w:sz w:val="24"/>
          <w:szCs w:val="24"/>
        </w:rPr>
      </w:r>
    </w:p>
    <w:p>
      <w:pPr>
        <w:ind w:left="0" w:right="0" w:firstLine="708"/>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highlight w:val="none"/>
        </w:rPr>
        <w:t xml:space="preserve">Сведения об исполнении судебных решений по денежным обязательствам бюджета (ф.0503296)</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Сведения (ф.0503296) формируются согласно пункту 174 Инструкции 191н и содержат обобщенные за отчетный период данные об исполнении судебных решений по денежным обязательствам бюджета.</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В отчетном периоде Департаментом на основании документов, полученных от судебных органов приняты бюджетные и денежные обязательства в общей сумме 31 500,00 руб., в том числе:</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 </w:t>
      </w:r>
      <w:r>
        <w:rPr>
          <w:rFonts w:ascii="PT Astra Serif" w:hAnsi="PT Astra Serif" w:eastAsia="PT Astra Serif" w:cs="PT Astra Serif"/>
          <w:b w:val="0"/>
          <w:bCs w:val="0"/>
          <w:color w:val="000000" w:themeColor="text1"/>
          <w:sz w:val="24"/>
          <w:szCs w:val="24"/>
          <w:highlight w:val="none"/>
        </w:rPr>
        <w:t xml:space="preserve">30 000,00 руб. возмещение </w:t>
      </w:r>
      <w:r>
        <w:rPr>
          <w:rFonts w:ascii="PT Astra Serif" w:hAnsi="PT Astra Serif" w:eastAsia="PT Astra Serif" w:cs="PT Astra Serif"/>
          <w:b w:val="0"/>
          <w:bCs w:val="0"/>
          <w:color w:val="000000" w:themeColor="text1"/>
          <w:sz w:val="24"/>
          <w:szCs w:val="24"/>
          <w:highlight w:val="none"/>
        </w:rPr>
        <w:t xml:space="preserve">ООО «Эдюкейшн групп» </w:t>
      </w:r>
      <w:r>
        <w:rPr>
          <w:rFonts w:ascii="PT Astra Serif" w:hAnsi="PT Astra Serif" w:eastAsia="PT Astra Serif" w:cs="PT Astra Serif"/>
          <w:b w:val="0"/>
          <w:bCs w:val="0"/>
          <w:color w:val="000000" w:themeColor="text1"/>
          <w:sz w:val="24"/>
          <w:szCs w:val="24"/>
          <w:highlight w:val="none"/>
        </w:rPr>
        <w:t xml:space="preserve">судебных расходов, связанных с оплатой услуг представителя</w:t>
      </w:r>
      <w:r>
        <w:rPr>
          <w:rFonts w:ascii="PT Astra Serif" w:hAnsi="PT Astra Serif" w:eastAsia="PT Astra Serif" w:cs="PT Astra Serif"/>
          <w:b w:val="0"/>
          <w:bCs w:val="0"/>
          <w:color w:val="000000" w:themeColor="text1"/>
          <w:sz w:val="24"/>
          <w:szCs w:val="24"/>
          <w:highlight w:val="none"/>
        </w:rPr>
        <w:t xml:space="preserve"> (исполнительный лист серии ФС от 16.04.2025 № 047762501, судебный акт от 21.03.2025 по делу </w:t>
      </w:r>
      <w:r>
        <w:rPr>
          <w:rFonts w:ascii="PT Astra Serif" w:hAnsi="PT Astra Serif" w:eastAsia="PT Astra Serif" w:cs="PT Astra Serif"/>
          <w:b w:val="0"/>
          <w:bCs w:val="0"/>
          <w:color w:val="000000" w:themeColor="text1"/>
          <w:sz w:val="24"/>
          <w:szCs w:val="24"/>
          <w:highlight w:val="none"/>
        </w:rPr>
        <w:t xml:space="preserve">№А67-3644/2024)</w:t>
      </w:r>
      <w:r>
        <w:rPr>
          <w:rFonts w:ascii="PT Astra Serif" w:hAnsi="PT Astra Serif" w:eastAsia="PT Astra Serif" w:cs="PT Astra Serif"/>
          <w:b w:val="0"/>
          <w:bCs w:val="0"/>
          <w:color w:val="000000" w:themeColor="text1"/>
          <w:sz w:val="24"/>
          <w:szCs w:val="24"/>
          <w:highlight w:val="none"/>
        </w:rPr>
        <w:t xml:space="preserve">;</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- 1 500,00 руб. госпошлина, уплаченная по постановлению Управления Федеральной службы судебных приставов по Томской области о возбуждении исполнительного производства от 28.10.2025 б/н.</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yellow"/>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Обязательства исполнены в полном объеме в отчетном периоде. Задолженность отсутствует.</w:t>
      </w:r>
      <w:r>
        <w:rPr>
          <w:rFonts w:ascii="PT Astra Serif" w:hAnsi="PT Astra Serif" w:eastAsia="PT Astra Serif" w:cs="PT Astra Serif"/>
          <w:b w:val="0"/>
          <w:bCs w:val="0"/>
          <w:color w:val="000000" w:themeColor="text1"/>
          <w:sz w:val="24"/>
          <w:szCs w:val="24"/>
          <w:highlight w:val="none"/>
        </w:rPr>
        <w:t xml:space="preserve"> Информация о данном факте изложена в пояснениях к Таблице № 16 настоящей пояснительной записки.</w:t>
      </w:r>
      <w:r>
        <w:rPr>
          <w:rFonts w:ascii="PT Astra Serif" w:hAnsi="PT Astra Serif" w:cs="PT Astra Serif"/>
          <w:b w:val="0"/>
          <w:bCs w:val="0"/>
          <w:color w:val="000000" w:themeColor="text1"/>
          <w:sz w:val="24"/>
          <w:szCs w:val="24"/>
          <w:highlight w:val="yellow"/>
        </w:rPr>
      </w:r>
      <w:r>
        <w:rPr>
          <w:rFonts w:ascii="PT Astra Serif" w:hAnsi="PT Astra Serif" w:cs="PT Astra Serif"/>
          <w:b w:val="0"/>
          <w:bCs w:val="0"/>
          <w:color w:val="000000" w:themeColor="text1"/>
          <w:sz w:val="24"/>
          <w:szCs w:val="24"/>
          <w:highlight w:val="yellow"/>
        </w:rPr>
      </w:r>
    </w:p>
    <w:p>
      <w:pPr>
        <w:ind w:left="0" w:right="0" w:firstLine="540"/>
        <w:jc w:val="both"/>
        <w:spacing w:before="0" w:beforeAutospacing="0" w:after="0" w:line="283" w:lineRule="atLeast"/>
        <w:rPr>
          <w:rFonts w:ascii="PT Astra Serif" w:hAnsi="PT Astra Serif" w:cs="PT Astra Serif"/>
          <w:b/>
          <w:bCs/>
          <w:color w:val="000000" w:themeColor="text1"/>
          <w:sz w:val="24"/>
          <w:szCs w:val="24"/>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rPr>
      </w:r>
      <w:r>
        <w:rPr>
          <w:rFonts w:ascii="PT Astra Serif" w:hAnsi="PT Astra Serif" w:cs="PT Astra Serif"/>
          <w:b/>
          <w:bCs/>
          <w:color w:val="000000" w:themeColor="text1"/>
          <w:sz w:val="24"/>
          <w:szCs w:val="24"/>
        </w:rPr>
      </w:r>
      <w:r>
        <w:rPr>
          <w:rFonts w:ascii="PT Astra Serif" w:hAnsi="PT Astra Serif" w:cs="PT Astra Serif"/>
          <w:b/>
          <w:bCs/>
          <w:color w:val="000000" w:themeColor="text1"/>
          <w:sz w:val="24"/>
          <w:szCs w:val="24"/>
        </w:rPr>
      </w:r>
    </w:p>
    <w:p>
      <w:pPr>
        <w:ind w:left="0" w:right="0" w:firstLine="708"/>
        <w:jc w:val="both"/>
        <w:spacing w:before="0" w:beforeAutospacing="0" w:after="0" w:line="283" w:lineRule="atLeast"/>
        <w:rPr>
          <w:rFonts w:ascii="PT Astra Serif" w:hAnsi="PT Astra Serif" w:cs="PT Astra Serif"/>
          <w:b/>
          <w:bCs/>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bCs/>
          <w:color w:val="000000" w:themeColor="text1"/>
          <w:sz w:val="24"/>
          <w:szCs w:val="24"/>
          <w:highlight w:val="none"/>
        </w:rPr>
        <w:t xml:space="preserve">Прочие вопросы деятельности субъекта бюджетной отчетности (Таблица № 16)</w:t>
      </w:r>
      <w:r>
        <w:rPr>
          <w:rFonts w:ascii="PT Astra Serif" w:hAnsi="PT Astra Serif" w:cs="PT Astra Serif"/>
          <w:b/>
          <w:bCs/>
          <w:color w:val="000000" w:themeColor="text1"/>
          <w:sz w:val="24"/>
          <w:szCs w:val="24"/>
          <w:highlight w:val="none"/>
        </w:rPr>
      </w:r>
      <w:r>
        <w:rPr>
          <w:rFonts w:ascii="PT Astra Serif" w:hAnsi="PT Astra Serif" w:cs="PT Astra Serif"/>
          <w:b/>
          <w:bCs/>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Таблица № 16 формируется в соответствии с положениями пункта 159.9 Инструкции 191н и отражает и</w:t>
      </w:r>
      <w:r>
        <w:rPr>
          <w:rFonts w:ascii="PT Astra Serif" w:hAnsi="PT Astra Serif" w:eastAsia="PT Astra Serif" w:cs="PT Astra Serif"/>
          <w:b w:val="0"/>
          <w:bCs w:val="0"/>
          <w:color w:val="000000" w:themeColor="text1"/>
          <w:sz w:val="24"/>
          <w:szCs w:val="24"/>
          <w:highlight w:val="none"/>
        </w:rPr>
        <w:t xml:space="preserve">ную информацию, оказавшую существенное влияние на результаты деятельности Департамента за отчетный период и характеризующая показатели настоящей бюджетной отчетности, не отраженная в таблицах и приложениях других разделов Пояснительной записки (ф.0503160).</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Департаментом для отражения фактов хозяйственной жизни в бюджетном учете не применяется корреспонденция, не предусмотренная дополнительно к перечню, установленному инструкциями по бюджетному учету.</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Показатели по строке 020 Таблицы № 16 отсутствуют в связи с отсутствием по Департаменту на конец отчетного периода задолженности по исполнительным производствам и судебным решениям.</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708"/>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t xml:space="preserve">Не представленные отчетные формы в виду отсутствия числовых показателей перечислены Департаментом в Таблице № 16, а также информация по ним изложена в текстовой части пояснительной записки.</w:t>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ind w:left="0" w:right="0" w:firstLine="540"/>
        <w:jc w:val="both"/>
        <w:spacing w:before="0" w:beforeAutospacing="0" w:after="0" w:line="283" w:lineRule="atLeast"/>
        <w:rPr>
          <w:rFonts w:ascii="PT Astra Serif" w:hAnsi="PT Astra Serif" w:cs="PT Astra Serif"/>
          <w:b w:val="0"/>
          <w:bCs w:val="0"/>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PT Astra Serif" w:hAnsi="PT Astra Serif" w:eastAsia="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r>
        <w:rPr>
          <w:rFonts w:ascii="PT Astra Serif" w:hAnsi="PT Astra Serif" w:cs="PT Astra Serif"/>
          <w:b w:val="0"/>
          <w:bCs w:val="0"/>
          <w:color w:val="000000" w:themeColor="text1"/>
          <w:sz w:val="24"/>
          <w:szCs w:val="24"/>
          <w:highlight w:val="none"/>
        </w:rPr>
      </w:r>
    </w:p>
    <w:p>
      <w:pPr>
        <w:pStyle w:val="914"/>
        <w:jc w:val="both"/>
        <w:spacing w:before="0" w:beforeAutospacing="0" w:after="0" w:afterAutospacing="0" w:line="283" w:lineRule="atLeast"/>
        <w:rPr>
          <w:rFonts w:ascii="PT Astra Serif" w:hAnsi="PT Astra Serif" w:cs="PT Astra Serif"/>
          <w:b/>
          <w:bCs/>
          <w:sz w:val="24"/>
          <w:szCs w:val="24"/>
          <w:highlight w:val="none"/>
        </w:rPr>
      </w:pPr>
      <w:r>
        <w:rPr>
          <w:rFonts w:ascii="PT Astra Serif" w:hAnsi="PT Astra Serif" w:eastAsia="PT Astra Serif" w:cs="PT Astra Serif"/>
          <w:sz w:val="24"/>
          <w:szCs w:val="24"/>
          <w:highlight w:val="none"/>
        </w:rPr>
        <w:tab/>
      </w:r>
      <w:r>
        <w:rPr>
          <w:rFonts w:ascii="PT Astra Serif" w:hAnsi="PT Astra Serif" w:cs="PT Astra Serif"/>
          <w:b/>
          <w:bCs/>
          <w:sz w:val="24"/>
          <w:szCs w:val="24"/>
          <w:highlight w:val="none"/>
        </w:rPr>
      </w:r>
      <w:r>
        <w:rPr>
          <w:rFonts w:ascii="PT Astra Serif" w:hAnsi="PT Astra Serif" w:cs="PT Astra Serif"/>
          <w:b/>
          <w:bCs/>
          <w:sz w:val="24"/>
          <w:szCs w:val="24"/>
          <w:highlight w:val="none"/>
        </w:rPr>
      </w:r>
    </w:p>
    <w:p>
      <w:pPr>
        <w:pStyle w:val="914"/>
        <w:ind w:firstLine="708"/>
        <w:jc w:val="both"/>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 </w:t>
      </w:r>
      <w:r>
        <w:rPr>
          <w:rFonts w:ascii="PT Astra Serif" w:hAnsi="PT Astra Serif" w:cs="PT Astra Serif"/>
          <w:sz w:val="24"/>
          <w:szCs w:val="24"/>
        </w:rPr>
      </w:r>
      <w:r>
        <w:rPr>
          <w:rFonts w:ascii="PT Astra Serif" w:hAnsi="PT Astra Serif" w:cs="PT Astra Serif"/>
          <w:sz w:val="24"/>
          <w:szCs w:val="24"/>
        </w:rPr>
      </w:r>
    </w:p>
    <w:p>
      <w:pPr>
        <w:pStyle w:val="914"/>
        <w:jc w:val="both"/>
        <w:spacing w:before="0" w:beforeAutospacing="0" w:after="0" w:afterAutospacing="0" w:line="283" w:lineRule="atLeast"/>
        <w:rPr>
          <w:rFonts w:ascii="PT Astra Serif" w:hAnsi="PT Astra Serif" w:cs="PT Astra Serif"/>
          <w:sz w:val="24"/>
          <w:szCs w:val="24"/>
        </w:rPr>
      </w:pPr>
      <w:r>
        <w:rPr>
          <w:rFonts w:ascii="PT Astra Serif" w:hAnsi="PT Astra Serif" w:eastAsia="PT Astra Serif" w:cs="PT Astra Serif"/>
          <w:sz w:val="24"/>
          <w:szCs w:val="24"/>
        </w:rPr>
        <w:t xml:space="preserve">Начальник департамента</w:t>
      </w:r>
      <w:r>
        <w:rPr>
          <w:rFonts w:ascii="PT Astra Serif" w:hAnsi="PT Astra Serif" w:eastAsia="PT Astra Serif" w:cs="PT Astra Serif"/>
          <w:sz w:val="24"/>
          <w:szCs w:val="24"/>
        </w:rPr>
        <w:tab/>
      </w:r>
      <w:r>
        <w:rPr>
          <w:rFonts w:ascii="PT Astra Serif" w:hAnsi="PT Astra Serif" w:eastAsia="PT Astra Serif" w:cs="PT Astra Serif"/>
          <w:sz w:val="24"/>
          <w:szCs w:val="24"/>
        </w:rPr>
        <w:tab/>
      </w:r>
      <w:r>
        <w:rPr>
          <w:rFonts w:ascii="PT Astra Serif" w:hAnsi="PT Astra Serif" w:eastAsia="PT Astra Serif" w:cs="PT Astra Serif"/>
          <w:sz w:val="24"/>
          <w:szCs w:val="24"/>
        </w:rPr>
        <w:tab/>
      </w:r>
      <w:r>
        <w:rPr>
          <w:rFonts w:ascii="PT Astra Serif" w:hAnsi="PT Astra Serif" w:eastAsia="PT Astra Serif" w:cs="PT Astra Serif"/>
          <w:sz w:val="24"/>
          <w:szCs w:val="24"/>
        </w:rPr>
        <w:tab/>
      </w:r>
      <w:r>
        <w:rPr>
          <w:rFonts w:ascii="PT Astra Serif" w:hAnsi="PT Astra Serif" w:eastAsia="PT Astra Serif" w:cs="PT Astra Serif"/>
          <w:sz w:val="24"/>
          <w:szCs w:val="24"/>
        </w:rPr>
        <w:tab/>
        <w:t xml:space="preserve">                                       Ю.В.Калинюк</w:t>
      </w:r>
      <w:r>
        <w:rPr>
          <w:rFonts w:ascii="PT Astra Serif" w:hAnsi="PT Astra Serif" w:cs="PT Astra Serif"/>
          <w:sz w:val="24"/>
          <w:szCs w:val="24"/>
        </w:rPr>
      </w:r>
      <w:r>
        <w:rPr>
          <w:rFonts w:ascii="PT Astra Serif" w:hAnsi="PT Astra Serif" w:cs="PT Astra Serif"/>
          <w:sz w:val="24"/>
          <w:szCs w:val="24"/>
        </w:rP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pPr>
      <w:r/>
      <w:r/>
    </w:p>
    <w:p>
      <w:pPr>
        <w:pStyle w:val="914"/>
        <w:jc w:val="both"/>
        <w:spacing w:before="0" w:beforeAutospacing="0" w:after="0" w:afterAutospacing="0"/>
        <w:rPr>
          <w:sz w:val="20"/>
          <w:szCs w:val="20"/>
        </w:rPr>
      </w:pPr>
      <w:r>
        <w:rPr>
          <w:sz w:val="20"/>
          <w:szCs w:val="20"/>
        </w:rPr>
        <w:t xml:space="preserve">Коваль Ольга Сергеевна</w:t>
      </w:r>
      <w:r>
        <w:rPr>
          <w:sz w:val="20"/>
          <w:szCs w:val="20"/>
        </w:rPr>
      </w:r>
      <w:r>
        <w:rPr>
          <w:sz w:val="20"/>
          <w:szCs w:val="20"/>
        </w:rPr>
      </w:r>
    </w:p>
    <w:p>
      <w:pPr>
        <w:pStyle w:val="914"/>
        <w:jc w:val="both"/>
        <w:spacing w:before="0" w:beforeAutospacing="0" w:after="0" w:afterAutospacing="0"/>
        <w:rPr>
          <w:sz w:val="20"/>
          <w:szCs w:val="20"/>
          <w:highlight w:val="none"/>
        </w:rPr>
      </w:pPr>
      <w:r>
        <w:rPr>
          <w:sz w:val="20"/>
          <w:szCs w:val="20"/>
        </w:rPr>
        <w:t xml:space="preserve">(8 3822) 51 12 34 вн. 4462</w:t>
      </w:r>
      <w:r>
        <w:rPr>
          <w:sz w:val="20"/>
          <w:szCs w:val="20"/>
          <w:highlight w:val="none"/>
        </w:rPr>
      </w:r>
      <w:r>
        <w:rPr>
          <w:sz w:val="20"/>
          <w:szCs w:val="20"/>
          <w:highlight w:val="none"/>
        </w:rPr>
      </w:r>
    </w:p>
    <w:p>
      <w:pPr>
        <w:pStyle w:val="914"/>
        <w:jc w:val="both"/>
        <w:spacing w:before="0" w:beforeAutospacing="0" w:after="0" w:afterAutospacing="0"/>
        <w:rPr>
          <w:sz w:val="20"/>
          <w:szCs w:val="20"/>
        </w:rPr>
      </w:pPr>
      <w:r>
        <w:rPr>
          <w:sz w:val="20"/>
          <w:szCs w:val="20"/>
          <w:highlight w:val="none"/>
        </w:rPr>
      </w:r>
      <w:r>
        <w:rPr>
          <w:sz w:val="20"/>
          <w:szCs w:val="20"/>
        </w:rPr>
      </w:r>
      <w:r>
        <w:rPr>
          <w:sz w:val="20"/>
          <w:szCs w:val="20"/>
        </w:rPr>
      </w:r>
    </w:p>
    <w:sectPr>
      <w:headerReference w:type="default" r:id="rId9"/>
      <w:footnotePr/>
      <w:endnotePr/>
      <w:type w:val="nextPage"/>
      <w:pgSz w:w="11905" w:h="16838" w:orient="portrait"/>
      <w:pgMar w:top="1134" w:right="565" w:bottom="567" w:left="1701" w:header="0" w:footer="0"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Segoe UI">
    <w:panose1 w:val="020B0502040204020203"/>
  </w:font>
  <w:font w:name="Courier New">
    <w:panose1 w:val="02070309020205020404"/>
  </w:font>
  <w:font w:name="PT Astra Serif">
    <w:panose1 w:val="020A0603040505020204"/>
  </w:font>
  <w:font w:name="Arial">
    <w:panose1 w:val="020B0604020202020204"/>
  </w:font>
  <w:font w:name="SimSun">
    <w:panose1 w:val="02010600030101010101"/>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56"/>
      <w:jc w:val="center"/>
    </w:pPr>
    <w:r/>
    <w:r/>
  </w:p>
  <w:p>
    <w:pPr>
      <w:pStyle w:val="756"/>
      <w:jc w:val="center"/>
    </w:pPr>
    <w:r>
      <w:fldChar w:fldCharType="begin"/>
    </w:r>
    <w:r>
      <w:instrText xml:space="preserve"> PAGE   \* MERGEFORMAT </w:instrText>
    </w:r>
    <w:r>
      <w:fldChar w:fldCharType="separate"/>
    </w:r>
    <w:r>
      <w:t xml:space="preserve">18</w:t>
    </w:r>
    <w:r>
      <w:fldChar w:fldCharType="end"/>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824"/>
      <w:numFmt w:val="bullet"/>
      <w:isLgl w:val="false"/>
      <w:suff w:val="tab"/>
      <w:lvlText w:val=""/>
      <w:lvlJc w:val="left"/>
      <w:pPr>
        <w:ind w:left="1068" w:hanging="360"/>
      </w:pPr>
      <w:rPr>
        <w:rFonts w:ascii="Symbol" w:hAnsi="Symbol" w:eastAsia="SimSun" w:cs="Times New Roman"/>
      </w:rPr>
    </w:lvl>
    <w:lvl w:ilvl="1">
      <w:start w:val="1"/>
      <w:numFmt w:val="bullet"/>
      <w:isLgl w:val="false"/>
      <w:suff w:val="tab"/>
      <w:lvlText w:val="o"/>
      <w:lvlJc w:val="left"/>
      <w:pPr>
        <w:ind w:left="1788" w:hanging="360"/>
      </w:pPr>
      <w:rPr>
        <w:rFonts w:ascii="Courier New" w:hAnsi="Courier New" w:cs="Courier New"/>
      </w:rPr>
    </w:lvl>
    <w:lvl w:ilvl="2">
      <w:start w:val="1"/>
      <w:numFmt w:val="bullet"/>
      <w:isLgl w:val="false"/>
      <w:suff w:val="tab"/>
      <w:lvlText w:val=""/>
      <w:lvlJc w:val="left"/>
      <w:pPr>
        <w:ind w:left="2508" w:hanging="360"/>
      </w:pPr>
      <w:rPr>
        <w:rFonts w:ascii="Wingdings" w:hAnsi="Wingdings"/>
      </w:rPr>
    </w:lvl>
    <w:lvl w:ilvl="3">
      <w:start w:val="1"/>
      <w:numFmt w:val="bullet"/>
      <w:isLgl w:val="false"/>
      <w:suff w:val="tab"/>
      <w:lvlText w:val=""/>
      <w:lvlJc w:val="left"/>
      <w:pPr>
        <w:ind w:left="3228" w:hanging="360"/>
      </w:pPr>
      <w:rPr>
        <w:rFonts w:ascii="Symbol" w:hAnsi="Symbol"/>
      </w:rPr>
    </w:lvl>
    <w:lvl w:ilvl="4">
      <w:start w:val="1"/>
      <w:numFmt w:val="bullet"/>
      <w:isLgl w:val="false"/>
      <w:suff w:val="tab"/>
      <w:lvlText w:val="o"/>
      <w:lvlJc w:val="left"/>
      <w:pPr>
        <w:ind w:left="3948" w:hanging="360"/>
      </w:pPr>
      <w:rPr>
        <w:rFonts w:ascii="Courier New" w:hAnsi="Courier New" w:cs="Courier New"/>
      </w:rPr>
    </w:lvl>
    <w:lvl w:ilvl="5">
      <w:start w:val="1"/>
      <w:numFmt w:val="bullet"/>
      <w:isLgl w:val="false"/>
      <w:suff w:val="tab"/>
      <w:lvlText w:val=""/>
      <w:lvlJc w:val="left"/>
      <w:pPr>
        <w:ind w:left="4668" w:hanging="360"/>
      </w:pPr>
      <w:rPr>
        <w:rFonts w:ascii="Wingdings" w:hAnsi="Wingdings"/>
      </w:rPr>
    </w:lvl>
    <w:lvl w:ilvl="6">
      <w:start w:val="1"/>
      <w:numFmt w:val="bullet"/>
      <w:isLgl w:val="false"/>
      <w:suff w:val="tab"/>
      <w:lvlText w:val=""/>
      <w:lvlJc w:val="left"/>
      <w:pPr>
        <w:ind w:left="5388" w:hanging="360"/>
      </w:pPr>
      <w:rPr>
        <w:rFonts w:ascii="Symbol" w:hAnsi="Symbol"/>
      </w:rPr>
    </w:lvl>
    <w:lvl w:ilvl="7">
      <w:start w:val="1"/>
      <w:numFmt w:val="bullet"/>
      <w:isLgl w:val="false"/>
      <w:suff w:val="tab"/>
      <w:lvlText w:val="o"/>
      <w:lvlJc w:val="left"/>
      <w:pPr>
        <w:ind w:left="6108" w:hanging="360"/>
      </w:pPr>
      <w:rPr>
        <w:rFonts w:ascii="Courier New" w:hAnsi="Courier New" w:cs="Courier New"/>
      </w:rPr>
    </w:lvl>
    <w:lvl w:ilvl="8">
      <w:start w:val="1"/>
      <w:numFmt w:val="bullet"/>
      <w:isLgl w:val="false"/>
      <w:suff w:val="tab"/>
      <w:lvlText w:val=""/>
      <w:lvlJc w:val="left"/>
      <w:pPr>
        <w:ind w:left="6828" w:hanging="360"/>
      </w:pPr>
      <w:rPr>
        <w:rFonts w:ascii="Wingdings" w:hAnsi="Wingdings"/>
      </w:rPr>
    </w:lvl>
  </w:abstractNum>
  <w:abstractNum w:abstractNumId="1">
    <w:multiLevelType w:val="hybridMultilevel"/>
    <w:lvl w:ilvl="0">
      <w:start w:val="380"/>
      <w:numFmt w:val="bullet"/>
      <w:isLgl w:val="false"/>
      <w:suff w:val="tab"/>
      <w:lvlText w:val=""/>
      <w:lvlJc w:val="left"/>
      <w:pPr>
        <w:ind w:left="720" w:hanging="360"/>
      </w:pPr>
      <w:rPr>
        <w:rFonts w:ascii="Symbol" w:hAnsi="Symbol" w:eastAsia="SimSu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709" w:hanging="360"/>
      </w:pPr>
      <w:rPr>
        <w:rFonts w:hint="default" w:ascii="Symbol" w:hAnsi="Symbol" w:eastAsia="Symbol" w:cs="Symbo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6">
    <w:multiLevelType w:val="hybridMultilevel"/>
    <w:lvl w:ilvl="0">
      <w:start w:val="1"/>
      <w:numFmt w:val="bullet"/>
      <w:isLgl w:val="false"/>
      <w:suff w:val="tab"/>
      <w:lvlText w:val="·"/>
      <w:lvlJc w:val="left"/>
      <w:pPr>
        <w:ind w:left="1417" w:hanging="360"/>
      </w:pPr>
      <w:rPr>
        <w:rFonts w:hint="default" w:ascii="Symbol" w:hAnsi="Symbol" w:eastAsia="Symbol" w:cs="Symbo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8">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num w:numId="1">
    <w:abstractNumId w:val="0"/>
  </w:num>
  <w:num w:numId="2">
    <w:abstractNumId w:val="1"/>
  </w:num>
  <w:num w:numId="3">
    <w:abstractNumId w:val="4"/>
  </w:num>
  <w:num w:numId="4">
    <w:abstractNumId w:val="3"/>
  </w:num>
  <w:num w:numId="5">
    <w:abstractNumId w:val="2"/>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SimSun"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90">
    <w:name w:val="Heading 1 Char"/>
    <w:basedOn w:val="734"/>
    <w:link w:val="725"/>
    <w:uiPriority w:val="9"/>
    <w:rPr>
      <w:rFonts w:ascii="Arial" w:hAnsi="Arial" w:eastAsia="Arial" w:cs="Arial"/>
      <w:sz w:val="40"/>
      <w:szCs w:val="40"/>
    </w:rPr>
  </w:style>
  <w:style w:type="character" w:styleId="691">
    <w:name w:val="Heading 2 Char"/>
    <w:basedOn w:val="734"/>
    <w:link w:val="726"/>
    <w:uiPriority w:val="9"/>
    <w:rPr>
      <w:rFonts w:ascii="Arial" w:hAnsi="Arial" w:eastAsia="Arial" w:cs="Arial"/>
      <w:sz w:val="34"/>
    </w:rPr>
  </w:style>
  <w:style w:type="character" w:styleId="692">
    <w:name w:val="Heading 3 Char"/>
    <w:basedOn w:val="734"/>
    <w:link w:val="727"/>
    <w:uiPriority w:val="9"/>
    <w:rPr>
      <w:rFonts w:ascii="Arial" w:hAnsi="Arial" w:eastAsia="Arial" w:cs="Arial"/>
      <w:sz w:val="30"/>
      <w:szCs w:val="30"/>
    </w:rPr>
  </w:style>
  <w:style w:type="character" w:styleId="693">
    <w:name w:val="Heading 4 Char"/>
    <w:basedOn w:val="734"/>
    <w:link w:val="728"/>
    <w:uiPriority w:val="9"/>
    <w:rPr>
      <w:rFonts w:ascii="Arial" w:hAnsi="Arial" w:eastAsia="Arial" w:cs="Arial"/>
      <w:b/>
      <w:bCs/>
      <w:sz w:val="26"/>
      <w:szCs w:val="26"/>
    </w:rPr>
  </w:style>
  <w:style w:type="character" w:styleId="694">
    <w:name w:val="Heading 5 Char"/>
    <w:basedOn w:val="734"/>
    <w:link w:val="729"/>
    <w:uiPriority w:val="9"/>
    <w:rPr>
      <w:rFonts w:ascii="Arial" w:hAnsi="Arial" w:eastAsia="Arial" w:cs="Arial"/>
      <w:b/>
      <w:bCs/>
      <w:sz w:val="24"/>
      <w:szCs w:val="24"/>
    </w:rPr>
  </w:style>
  <w:style w:type="character" w:styleId="695">
    <w:name w:val="Heading 6 Char"/>
    <w:basedOn w:val="734"/>
    <w:link w:val="730"/>
    <w:uiPriority w:val="9"/>
    <w:rPr>
      <w:rFonts w:ascii="Arial" w:hAnsi="Arial" w:eastAsia="Arial" w:cs="Arial"/>
      <w:b/>
      <w:bCs/>
      <w:sz w:val="22"/>
      <w:szCs w:val="22"/>
    </w:rPr>
  </w:style>
  <w:style w:type="character" w:styleId="696">
    <w:name w:val="Heading 7 Char"/>
    <w:basedOn w:val="734"/>
    <w:link w:val="731"/>
    <w:uiPriority w:val="9"/>
    <w:rPr>
      <w:rFonts w:ascii="Arial" w:hAnsi="Arial" w:eastAsia="Arial" w:cs="Arial"/>
      <w:b/>
      <w:bCs/>
      <w:i/>
      <w:iCs/>
      <w:sz w:val="22"/>
      <w:szCs w:val="22"/>
    </w:rPr>
  </w:style>
  <w:style w:type="character" w:styleId="697">
    <w:name w:val="Heading 8 Char"/>
    <w:basedOn w:val="734"/>
    <w:link w:val="732"/>
    <w:uiPriority w:val="9"/>
    <w:rPr>
      <w:rFonts w:ascii="Arial" w:hAnsi="Arial" w:eastAsia="Arial" w:cs="Arial"/>
      <w:i/>
      <w:iCs/>
      <w:sz w:val="22"/>
      <w:szCs w:val="22"/>
    </w:rPr>
  </w:style>
  <w:style w:type="character" w:styleId="698">
    <w:name w:val="Heading 9 Char"/>
    <w:basedOn w:val="734"/>
    <w:link w:val="733"/>
    <w:uiPriority w:val="9"/>
    <w:rPr>
      <w:rFonts w:ascii="Arial" w:hAnsi="Arial" w:eastAsia="Arial" w:cs="Arial"/>
      <w:i/>
      <w:iCs/>
      <w:sz w:val="21"/>
      <w:szCs w:val="21"/>
    </w:rPr>
  </w:style>
  <w:style w:type="character" w:styleId="699">
    <w:name w:val="Title Char"/>
    <w:basedOn w:val="734"/>
    <w:link w:val="748"/>
    <w:uiPriority w:val="10"/>
    <w:rPr>
      <w:sz w:val="48"/>
      <w:szCs w:val="48"/>
    </w:rPr>
  </w:style>
  <w:style w:type="character" w:styleId="700">
    <w:name w:val="Subtitle Char"/>
    <w:basedOn w:val="734"/>
    <w:link w:val="750"/>
    <w:uiPriority w:val="11"/>
    <w:rPr>
      <w:sz w:val="24"/>
      <w:szCs w:val="24"/>
    </w:rPr>
  </w:style>
  <w:style w:type="character" w:styleId="701">
    <w:name w:val="Quote Char"/>
    <w:link w:val="752"/>
    <w:uiPriority w:val="29"/>
    <w:rPr>
      <w:i/>
    </w:rPr>
  </w:style>
  <w:style w:type="character" w:styleId="702">
    <w:name w:val="Intense Quote Char"/>
    <w:link w:val="754"/>
    <w:uiPriority w:val="30"/>
    <w:rPr>
      <w:i/>
    </w:rPr>
  </w:style>
  <w:style w:type="table" w:styleId="703">
    <w:name w:val="Plain Table 1"/>
    <w:basedOn w:val="73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04">
    <w:name w:val="Plain Table 2"/>
    <w:basedOn w:val="73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05">
    <w:name w:val="Plain Table 3"/>
    <w:basedOn w:val="7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06">
    <w:name w:val="Plain Table 4"/>
    <w:basedOn w:val="7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07">
    <w:name w:val="Plain Table 5"/>
    <w:basedOn w:val="73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08">
    <w:name w:val="Grid Table 1 Light"/>
    <w:basedOn w:val="73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09">
    <w:name w:val="Grid Table 2"/>
    <w:basedOn w:val="73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10">
    <w:name w:val="Grid Table 3"/>
    <w:basedOn w:val="73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1">
    <w:name w:val="Grid Table 4"/>
    <w:basedOn w:val="73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12">
    <w:name w:val="Grid Table 5 Dark"/>
    <w:basedOn w:val="73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13">
    <w:name w:val="Grid Table 6 Colorful"/>
    <w:basedOn w:val="73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4">
    <w:name w:val="Grid Table 7 Colorful"/>
    <w:basedOn w:val="73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5">
    <w:name w:val="List Table 1 Light"/>
    <w:basedOn w:val="73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16">
    <w:name w:val="List Table 2"/>
    <w:basedOn w:val="73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17">
    <w:name w:val="List Table 3"/>
    <w:basedOn w:val="73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18">
    <w:name w:val="List Table 4"/>
    <w:basedOn w:val="73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19">
    <w:name w:val="List Table 5 Dark"/>
    <w:basedOn w:val="73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20">
    <w:name w:val="List Table 6 Colorful"/>
    <w:basedOn w:val="73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21">
    <w:name w:val="List Table 7 Colorful"/>
    <w:basedOn w:val="73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character" w:styleId="722">
    <w:name w:val="Footnote Text Char"/>
    <w:link w:val="889"/>
    <w:uiPriority w:val="99"/>
    <w:rPr>
      <w:sz w:val="18"/>
    </w:rPr>
  </w:style>
  <w:style w:type="character" w:styleId="723">
    <w:name w:val="Endnote Text Char"/>
    <w:link w:val="892"/>
    <w:uiPriority w:val="99"/>
    <w:rPr>
      <w:sz w:val="20"/>
    </w:rPr>
  </w:style>
  <w:style w:type="paragraph" w:styleId="724" w:default="1">
    <w:name w:val="Normal"/>
    <w:qFormat/>
    <w:pPr>
      <w:spacing w:after="200" w:line="276" w:lineRule="auto"/>
    </w:pPr>
    <w:rPr>
      <w:sz w:val="22"/>
      <w:szCs w:val="22"/>
      <w:lang w:eastAsia="en-US"/>
    </w:rPr>
  </w:style>
  <w:style w:type="paragraph" w:styleId="725">
    <w:name w:val="Heading 1"/>
    <w:basedOn w:val="724"/>
    <w:next w:val="724"/>
    <w:link w:val="737"/>
    <w:uiPriority w:val="9"/>
    <w:qFormat/>
    <w:pPr>
      <w:keepLines/>
      <w:keepNext/>
      <w:spacing w:before="480"/>
      <w:outlineLvl w:val="0"/>
    </w:pPr>
    <w:rPr>
      <w:rFonts w:ascii="Arial" w:hAnsi="Arial" w:eastAsia="Arial" w:cs="Arial"/>
      <w:sz w:val="40"/>
      <w:szCs w:val="40"/>
    </w:rPr>
  </w:style>
  <w:style w:type="paragraph" w:styleId="726">
    <w:name w:val="Heading 2"/>
    <w:basedOn w:val="724"/>
    <w:next w:val="724"/>
    <w:link w:val="738"/>
    <w:uiPriority w:val="9"/>
    <w:unhideWhenUsed/>
    <w:qFormat/>
    <w:pPr>
      <w:keepLines/>
      <w:keepNext/>
      <w:spacing w:before="360"/>
      <w:outlineLvl w:val="1"/>
    </w:pPr>
    <w:rPr>
      <w:rFonts w:ascii="Arial" w:hAnsi="Arial" w:eastAsia="Arial" w:cs="Arial"/>
      <w:sz w:val="34"/>
    </w:rPr>
  </w:style>
  <w:style w:type="paragraph" w:styleId="727">
    <w:name w:val="Heading 3"/>
    <w:basedOn w:val="724"/>
    <w:next w:val="724"/>
    <w:link w:val="739"/>
    <w:uiPriority w:val="9"/>
    <w:unhideWhenUsed/>
    <w:qFormat/>
    <w:pPr>
      <w:keepLines/>
      <w:keepNext/>
      <w:spacing w:before="320"/>
      <w:outlineLvl w:val="2"/>
    </w:pPr>
    <w:rPr>
      <w:rFonts w:ascii="Arial" w:hAnsi="Arial" w:eastAsia="Arial" w:cs="Arial"/>
      <w:sz w:val="30"/>
      <w:szCs w:val="30"/>
    </w:rPr>
  </w:style>
  <w:style w:type="paragraph" w:styleId="728">
    <w:name w:val="Heading 4"/>
    <w:basedOn w:val="724"/>
    <w:next w:val="724"/>
    <w:link w:val="740"/>
    <w:uiPriority w:val="9"/>
    <w:unhideWhenUsed/>
    <w:qFormat/>
    <w:pPr>
      <w:keepLines/>
      <w:keepNext/>
      <w:spacing w:before="320"/>
      <w:outlineLvl w:val="3"/>
    </w:pPr>
    <w:rPr>
      <w:rFonts w:ascii="Arial" w:hAnsi="Arial" w:eastAsia="Arial" w:cs="Arial"/>
      <w:b/>
      <w:bCs/>
      <w:sz w:val="26"/>
      <w:szCs w:val="26"/>
    </w:rPr>
  </w:style>
  <w:style w:type="paragraph" w:styleId="729">
    <w:name w:val="Heading 5"/>
    <w:basedOn w:val="724"/>
    <w:next w:val="724"/>
    <w:link w:val="741"/>
    <w:uiPriority w:val="9"/>
    <w:unhideWhenUsed/>
    <w:qFormat/>
    <w:pPr>
      <w:keepLines/>
      <w:keepNext/>
      <w:spacing w:before="320"/>
      <w:outlineLvl w:val="4"/>
    </w:pPr>
    <w:rPr>
      <w:rFonts w:ascii="Arial" w:hAnsi="Arial" w:eastAsia="Arial" w:cs="Arial"/>
      <w:b/>
      <w:bCs/>
      <w:sz w:val="24"/>
      <w:szCs w:val="24"/>
    </w:rPr>
  </w:style>
  <w:style w:type="paragraph" w:styleId="730">
    <w:name w:val="Heading 6"/>
    <w:basedOn w:val="724"/>
    <w:next w:val="724"/>
    <w:link w:val="742"/>
    <w:uiPriority w:val="9"/>
    <w:unhideWhenUsed/>
    <w:qFormat/>
    <w:pPr>
      <w:keepLines/>
      <w:keepNext/>
      <w:spacing w:before="320"/>
      <w:outlineLvl w:val="5"/>
    </w:pPr>
    <w:rPr>
      <w:rFonts w:ascii="Arial" w:hAnsi="Arial" w:eastAsia="Arial" w:cs="Arial"/>
      <w:b/>
      <w:bCs/>
    </w:rPr>
  </w:style>
  <w:style w:type="paragraph" w:styleId="731">
    <w:name w:val="Heading 7"/>
    <w:basedOn w:val="724"/>
    <w:next w:val="724"/>
    <w:link w:val="743"/>
    <w:uiPriority w:val="9"/>
    <w:unhideWhenUsed/>
    <w:qFormat/>
    <w:pPr>
      <w:keepLines/>
      <w:keepNext/>
      <w:spacing w:before="320"/>
      <w:outlineLvl w:val="6"/>
    </w:pPr>
    <w:rPr>
      <w:rFonts w:ascii="Arial" w:hAnsi="Arial" w:eastAsia="Arial" w:cs="Arial"/>
      <w:b/>
      <w:bCs/>
      <w:i/>
      <w:iCs/>
    </w:rPr>
  </w:style>
  <w:style w:type="paragraph" w:styleId="732">
    <w:name w:val="Heading 8"/>
    <w:basedOn w:val="724"/>
    <w:next w:val="724"/>
    <w:link w:val="744"/>
    <w:uiPriority w:val="9"/>
    <w:unhideWhenUsed/>
    <w:qFormat/>
    <w:pPr>
      <w:keepLines/>
      <w:keepNext/>
      <w:spacing w:before="320"/>
      <w:outlineLvl w:val="7"/>
    </w:pPr>
    <w:rPr>
      <w:rFonts w:ascii="Arial" w:hAnsi="Arial" w:eastAsia="Arial" w:cs="Arial"/>
      <w:i/>
      <w:iCs/>
    </w:rPr>
  </w:style>
  <w:style w:type="paragraph" w:styleId="733">
    <w:name w:val="Heading 9"/>
    <w:basedOn w:val="724"/>
    <w:next w:val="724"/>
    <w:link w:val="745"/>
    <w:uiPriority w:val="9"/>
    <w:unhideWhenUsed/>
    <w:qFormat/>
    <w:pPr>
      <w:keepLines/>
      <w:keepNext/>
      <w:spacing w:before="320"/>
      <w:outlineLvl w:val="8"/>
    </w:pPr>
    <w:rPr>
      <w:rFonts w:ascii="Arial" w:hAnsi="Arial" w:eastAsia="Arial" w:cs="Arial"/>
      <w:i/>
      <w:iCs/>
      <w:sz w:val="21"/>
      <w:szCs w:val="21"/>
    </w:rPr>
  </w:style>
  <w:style w:type="character" w:styleId="734" w:default="1">
    <w:name w:val="Default Paragraph Font"/>
    <w:uiPriority w:val="1"/>
    <w:semiHidden/>
    <w:unhideWhenUsed/>
  </w:style>
  <w:style w:type="table" w:styleId="735" w:default="1">
    <w:name w:val="Normal Table"/>
    <w:uiPriority w:val="99"/>
    <w:semiHidden/>
    <w:unhideWhenUsed/>
    <w:tblPr>
      <w:tblInd w:w="0" w:type="dxa"/>
      <w:tblCellMar>
        <w:left w:w="108" w:type="dxa"/>
        <w:top w:w="0" w:type="dxa"/>
        <w:right w:w="108" w:type="dxa"/>
        <w:bottom w:w="0" w:type="dxa"/>
      </w:tblCellMar>
    </w:tblPr>
  </w:style>
  <w:style w:type="numbering" w:styleId="736" w:default="1">
    <w:name w:val="No List"/>
    <w:uiPriority w:val="99"/>
    <w:semiHidden/>
    <w:unhideWhenUsed/>
  </w:style>
  <w:style w:type="character" w:styleId="737" w:customStyle="1">
    <w:name w:val="Заголовок 1 Знак"/>
    <w:link w:val="725"/>
    <w:uiPriority w:val="9"/>
    <w:rPr>
      <w:rFonts w:ascii="Arial" w:hAnsi="Arial" w:eastAsia="Arial" w:cs="Arial"/>
      <w:sz w:val="40"/>
      <w:szCs w:val="40"/>
    </w:rPr>
  </w:style>
  <w:style w:type="character" w:styleId="738" w:customStyle="1">
    <w:name w:val="Заголовок 2 Знак"/>
    <w:link w:val="726"/>
    <w:uiPriority w:val="9"/>
    <w:rPr>
      <w:rFonts w:ascii="Arial" w:hAnsi="Arial" w:eastAsia="Arial" w:cs="Arial"/>
      <w:sz w:val="34"/>
    </w:rPr>
  </w:style>
  <w:style w:type="character" w:styleId="739" w:customStyle="1">
    <w:name w:val="Заголовок 3 Знак"/>
    <w:link w:val="727"/>
    <w:uiPriority w:val="9"/>
    <w:rPr>
      <w:rFonts w:ascii="Arial" w:hAnsi="Arial" w:eastAsia="Arial" w:cs="Arial"/>
      <w:sz w:val="30"/>
      <w:szCs w:val="30"/>
    </w:rPr>
  </w:style>
  <w:style w:type="character" w:styleId="740" w:customStyle="1">
    <w:name w:val="Заголовок 4 Знак"/>
    <w:link w:val="728"/>
    <w:uiPriority w:val="9"/>
    <w:rPr>
      <w:rFonts w:ascii="Arial" w:hAnsi="Arial" w:eastAsia="Arial" w:cs="Arial"/>
      <w:b/>
      <w:bCs/>
      <w:sz w:val="26"/>
      <w:szCs w:val="26"/>
    </w:rPr>
  </w:style>
  <w:style w:type="character" w:styleId="741" w:customStyle="1">
    <w:name w:val="Заголовок 5 Знак"/>
    <w:link w:val="729"/>
    <w:uiPriority w:val="9"/>
    <w:rPr>
      <w:rFonts w:ascii="Arial" w:hAnsi="Arial" w:eastAsia="Arial" w:cs="Arial"/>
      <w:b/>
      <w:bCs/>
      <w:sz w:val="24"/>
      <w:szCs w:val="24"/>
    </w:rPr>
  </w:style>
  <w:style w:type="character" w:styleId="742" w:customStyle="1">
    <w:name w:val="Заголовок 6 Знак"/>
    <w:link w:val="730"/>
    <w:uiPriority w:val="9"/>
    <w:rPr>
      <w:rFonts w:ascii="Arial" w:hAnsi="Arial" w:eastAsia="Arial" w:cs="Arial"/>
      <w:b/>
      <w:bCs/>
      <w:sz w:val="22"/>
      <w:szCs w:val="22"/>
    </w:rPr>
  </w:style>
  <w:style w:type="character" w:styleId="743" w:customStyle="1">
    <w:name w:val="Заголовок 7 Знак"/>
    <w:link w:val="731"/>
    <w:uiPriority w:val="9"/>
    <w:rPr>
      <w:rFonts w:ascii="Arial" w:hAnsi="Arial" w:eastAsia="Arial" w:cs="Arial"/>
      <w:b/>
      <w:bCs/>
      <w:i/>
      <w:iCs/>
      <w:sz w:val="22"/>
      <w:szCs w:val="22"/>
    </w:rPr>
  </w:style>
  <w:style w:type="character" w:styleId="744" w:customStyle="1">
    <w:name w:val="Заголовок 8 Знак"/>
    <w:link w:val="732"/>
    <w:uiPriority w:val="9"/>
    <w:rPr>
      <w:rFonts w:ascii="Arial" w:hAnsi="Arial" w:eastAsia="Arial" w:cs="Arial"/>
      <w:i/>
      <w:iCs/>
      <w:sz w:val="22"/>
      <w:szCs w:val="22"/>
    </w:rPr>
  </w:style>
  <w:style w:type="character" w:styleId="745" w:customStyle="1">
    <w:name w:val="Заголовок 9 Знак"/>
    <w:link w:val="733"/>
    <w:uiPriority w:val="9"/>
    <w:rPr>
      <w:rFonts w:ascii="Arial" w:hAnsi="Arial" w:eastAsia="Arial" w:cs="Arial"/>
      <w:i/>
      <w:iCs/>
      <w:sz w:val="21"/>
      <w:szCs w:val="21"/>
    </w:rPr>
  </w:style>
  <w:style w:type="paragraph" w:styleId="746">
    <w:name w:val="List Paragraph"/>
    <w:basedOn w:val="724"/>
    <w:uiPriority w:val="34"/>
    <w:qFormat/>
    <w:pPr>
      <w:contextualSpacing/>
      <w:ind w:left="720"/>
    </w:pPr>
  </w:style>
  <w:style w:type="paragraph" w:styleId="747">
    <w:name w:val="No Spacing"/>
    <w:uiPriority w:val="1"/>
    <w:qFormat/>
    <w:rPr>
      <w:lang w:eastAsia="zh-CN"/>
    </w:rPr>
  </w:style>
  <w:style w:type="paragraph" w:styleId="748">
    <w:name w:val="Title"/>
    <w:basedOn w:val="724"/>
    <w:next w:val="724"/>
    <w:link w:val="749"/>
    <w:uiPriority w:val="10"/>
    <w:qFormat/>
    <w:pPr>
      <w:contextualSpacing/>
      <w:spacing w:before="300"/>
    </w:pPr>
    <w:rPr>
      <w:sz w:val="48"/>
      <w:szCs w:val="48"/>
    </w:rPr>
  </w:style>
  <w:style w:type="character" w:styleId="749" w:customStyle="1">
    <w:name w:val="Заголовок Знак"/>
    <w:link w:val="748"/>
    <w:uiPriority w:val="10"/>
    <w:rPr>
      <w:sz w:val="48"/>
      <w:szCs w:val="48"/>
    </w:rPr>
  </w:style>
  <w:style w:type="paragraph" w:styleId="750">
    <w:name w:val="Subtitle"/>
    <w:basedOn w:val="724"/>
    <w:next w:val="724"/>
    <w:link w:val="751"/>
    <w:uiPriority w:val="11"/>
    <w:qFormat/>
    <w:pPr>
      <w:spacing w:before="200"/>
    </w:pPr>
    <w:rPr>
      <w:sz w:val="24"/>
      <w:szCs w:val="24"/>
    </w:rPr>
  </w:style>
  <w:style w:type="character" w:styleId="751" w:customStyle="1">
    <w:name w:val="Подзаголовок Знак"/>
    <w:link w:val="750"/>
    <w:uiPriority w:val="11"/>
    <w:rPr>
      <w:sz w:val="24"/>
      <w:szCs w:val="24"/>
    </w:rPr>
  </w:style>
  <w:style w:type="paragraph" w:styleId="752">
    <w:name w:val="Quote"/>
    <w:basedOn w:val="724"/>
    <w:next w:val="724"/>
    <w:link w:val="753"/>
    <w:uiPriority w:val="29"/>
    <w:qFormat/>
    <w:pPr>
      <w:ind w:left="720" w:right="720"/>
    </w:pPr>
    <w:rPr>
      <w:i/>
    </w:rPr>
  </w:style>
  <w:style w:type="character" w:styleId="753" w:customStyle="1">
    <w:name w:val="Цитата 2 Знак"/>
    <w:link w:val="752"/>
    <w:uiPriority w:val="29"/>
    <w:rPr>
      <w:i/>
    </w:rPr>
  </w:style>
  <w:style w:type="paragraph" w:styleId="754">
    <w:name w:val="Intense Quote"/>
    <w:basedOn w:val="724"/>
    <w:next w:val="724"/>
    <w:link w:val="755"/>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55" w:customStyle="1">
    <w:name w:val="Выделенная цитата Знак"/>
    <w:link w:val="754"/>
    <w:uiPriority w:val="30"/>
    <w:rPr>
      <w:i/>
    </w:rPr>
  </w:style>
  <w:style w:type="paragraph" w:styleId="756">
    <w:name w:val="Header"/>
    <w:basedOn w:val="724"/>
    <w:link w:val="908"/>
    <w:uiPriority w:val="99"/>
    <w:unhideWhenUsed/>
    <w:pPr>
      <w:tabs>
        <w:tab w:val="center" w:pos="4677" w:leader="none"/>
        <w:tab w:val="right" w:pos="9355" w:leader="none"/>
      </w:tabs>
    </w:pPr>
  </w:style>
  <w:style w:type="character" w:styleId="757" w:customStyle="1">
    <w:name w:val="Header Char"/>
    <w:uiPriority w:val="99"/>
  </w:style>
  <w:style w:type="paragraph" w:styleId="758">
    <w:name w:val="Footer"/>
    <w:basedOn w:val="724"/>
    <w:link w:val="909"/>
    <w:uiPriority w:val="99"/>
    <w:unhideWhenUsed/>
    <w:pPr>
      <w:tabs>
        <w:tab w:val="center" w:pos="4677" w:leader="none"/>
        <w:tab w:val="right" w:pos="9355" w:leader="none"/>
      </w:tabs>
    </w:pPr>
  </w:style>
  <w:style w:type="character" w:styleId="759" w:customStyle="1">
    <w:name w:val="Footer Char"/>
    <w:uiPriority w:val="99"/>
  </w:style>
  <w:style w:type="paragraph" w:styleId="760">
    <w:name w:val="Caption"/>
    <w:basedOn w:val="724"/>
    <w:next w:val="724"/>
    <w:uiPriority w:val="35"/>
    <w:semiHidden/>
    <w:unhideWhenUsed/>
    <w:qFormat/>
    <w:rPr>
      <w:b/>
      <w:bCs/>
      <w:color w:val="4f81bd"/>
      <w:sz w:val="18"/>
      <w:szCs w:val="18"/>
    </w:rPr>
  </w:style>
  <w:style w:type="character" w:styleId="761" w:customStyle="1">
    <w:name w:val="Caption Char"/>
    <w:uiPriority w:val="99"/>
  </w:style>
  <w:style w:type="table" w:styleId="762">
    <w:name w:val="Table Grid"/>
    <w:basedOn w:val="735"/>
    <w:uiPriority w:val="59"/>
    <w:tblPr/>
  </w:style>
  <w:style w:type="table" w:styleId="763" w:customStyle="1">
    <w:name w:val="Table Grid Light"/>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764" w:customStyle="1">
    <w:name w:val="Таблица простая 11"/>
    <w:uiPriority w:val="59"/>
    <w:rPr>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765" w:customStyle="1">
    <w:name w:val="Таблица простая 21"/>
    <w:uiPriority w:val="59"/>
    <w:rPr>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766" w:customStyle="1">
    <w:name w:val="Таблица простая 31"/>
    <w:uiPriority w:val="99"/>
    <w:rPr>
      <w:lang w:eastAsia="zh-CN"/>
    </w:rPr>
    <w:tblPr>
      <w:tblStyleRowBandSize w:val="1"/>
      <w:tblStyleColBandSize w:val="1"/>
      <w:tblInd w:w="0" w:type="dxa"/>
      <w:tblCellMar>
        <w:left w:w="0" w:type="dxa"/>
        <w:top w:w="0" w:type="dxa"/>
        <w:right w:w="0" w:type="dxa"/>
        <w:bottom w:w="0" w:type="dxa"/>
      </w:tblCellMar>
    </w:tblPr>
  </w:style>
  <w:style w:type="table" w:styleId="767" w:customStyle="1">
    <w:name w:val="Таблица простая 41"/>
    <w:uiPriority w:val="99"/>
    <w:rPr>
      <w:lang w:eastAsia="zh-CN"/>
    </w:rPr>
    <w:tblPr>
      <w:tblStyleRowBandSize w:val="1"/>
      <w:tblStyleColBandSize w:val="1"/>
      <w:tblInd w:w="0" w:type="dxa"/>
      <w:tblCellMar>
        <w:left w:w="0" w:type="dxa"/>
        <w:top w:w="0" w:type="dxa"/>
        <w:right w:w="0" w:type="dxa"/>
        <w:bottom w:w="0" w:type="dxa"/>
      </w:tblCellMar>
    </w:tblPr>
  </w:style>
  <w:style w:type="table" w:styleId="768" w:customStyle="1">
    <w:name w:val="Таблица простая 51"/>
    <w:uiPriority w:val="99"/>
    <w:rPr>
      <w:lang w:eastAsia="zh-CN"/>
    </w:rPr>
    <w:tblPr>
      <w:tblStyleRowBandSize w:val="1"/>
      <w:tblStyleColBandSize w:val="1"/>
      <w:tblInd w:w="0" w:type="dxa"/>
      <w:tblCellMar>
        <w:left w:w="0" w:type="dxa"/>
        <w:top w:w="0" w:type="dxa"/>
        <w:right w:w="0" w:type="dxa"/>
        <w:bottom w:w="0" w:type="dxa"/>
      </w:tblCellMar>
    </w:tblPr>
  </w:style>
  <w:style w:type="table" w:styleId="769" w:customStyle="1">
    <w:name w:val="Таблица-сетка 1 светлая1"/>
    <w:uiPriority w:val="99"/>
    <w:rPr>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770" w:customStyle="1">
    <w:name w:val="Grid Table 1 Light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771" w:customStyle="1">
    <w:name w:val="Grid Table 1 Light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772" w:customStyle="1">
    <w:name w:val="Grid Table 1 Light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773" w:customStyle="1">
    <w:name w:val="Grid Table 1 Light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774" w:customStyle="1">
    <w:name w:val="Grid Table 1 Light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775" w:customStyle="1">
    <w:name w:val="Grid Table 1 Light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776" w:customStyle="1">
    <w:name w:val="Таблица-сетка 21"/>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777" w:customStyle="1">
    <w:name w:val="Grid Table 2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778" w:customStyle="1">
    <w:name w:val="Grid Table 2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779" w:customStyle="1">
    <w:name w:val="Grid Table 2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780" w:customStyle="1">
    <w:name w:val="Grid Table 2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781" w:customStyle="1">
    <w:name w:val="Grid Table 2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782" w:customStyle="1">
    <w:name w:val="Grid Table 2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783" w:customStyle="1">
    <w:name w:val="Таблица-сетка 31"/>
    <w:uiPriority w:val="99"/>
    <w:rPr>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784" w:customStyle="1">
    <w:name w:val="Grid Table 3 - Accent 1"/>
    <w:uiPriority w:val="99"/>
    <w:rPr>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785" w:customStyle="1">
    <w:name w:val="Grid Table 3 - Accent 2"/>
    <w:uiPriority w:val="99"/>
    <w:rPr>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786" w:customStyle="1">
    <w:name w:val="Grid Table 3 - Accent 3"/>
    <w:uiPriority w:val="99"/>
    <w:rPr>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787" w:customStyle="1">
    <w:name w:val="Grid Table 3 - Accent 4"/>
    <w:uiPriority w:val="99"/>
    <w:rPr>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788" w:customStyle="1">
    <w:name w:val="Grid Table 3 - Accent 5"/>
    <w:uiPriority w:val="99"/>
    <w:rPr>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789" w:customStyle="1">
    <w:name w:val="Grid Table 3 - Accent 6"/>
    <w:uiPriority w:val="99"/>
    <w:rPr>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790" w:customStyle="1">
    <w:name w:val="Таблица-сетка 41"/>
    <w:uiPriority w:val="59"/>
    <w:rPr>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791" w:customStyle="1">
    <w:name w:val="Grid Table 4 - Accent 1"/>
    <w:uiPriority w:val="5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792" w:customStyle="1">
    <w:name w:val="Grid Table 4 - Accent 2"/>
    <w:uiPriority w:val="5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793" w:customStyle="1">
    <w:name w:val="Grid Table 4 - Accent 3"/>
    <w:uiPriority w:val="5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794" w:customStyle="1">
    <w:name w:val="Grid Table 4 - Accent 4"/>
    <w:uiPriority w:val="5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795" w:customStyle="1">
    <w:name w:val="Grid Table 4 - Accent 5"/>
    <w:uiPriority w:val="5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796" w:customStyle="1">
    <w:name w:val="Grid Table 4 - Accent 6"/>
    <w:uiPriority w:val="5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797" w:customStyle="1">
    <w:name w:val="Таблица-сетка 5 темная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style>
  <w:style w:type="table" w:styleId="798" w:customStyle="1">
    <w:name w:val="Grid Table 5 Dark- Accent 1"/>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style>
  <w:style w:type="table" w:styleId="799" w:customStyle="1">
    <w:name w:val="Grid Table 5 Dark - Accent 2"/>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style>
  <w:style w:type="table" w:styleId="800" w:customStyle="1">
    <w:name w:val="Grid Table 5 Dark - Accent 3"/>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style>
  <w:style w:type="table" w:styleId="801" w:customStyle="1">
    <w:name w:val="Grid Table 5 Dark- Accent 4"/>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style>
  <w:style w:type="table" w:styleId="802" w:customStyle="1">
    <w:name w:val="Grid Table 5 Dark - Accent 5"/>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style>
  <w:style w:type="table" w:styleId="803" w:customStyle="1">
    <w:name w:val="Grid Table 5 Dark - Accent 6"/>
    <w:uiPriority w:val="99"/>
    <w:rPr>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style>
  <w:style w:type="table" w:styleId="804" w:customStyle="1">
    <w:name w:val="Таблица-сетка 6 цветная1"/>
    <w:uiPriority w:val="99"/>
    <w:rPr>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805" w:customStyle="1">
    <w:name w:val="Grid Table 6 Colorful - Accent 1"/>
    <w:uiPriority w:val="99"/>
    <w:rPr>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806" w:customStyle="1">
    <w:name w:val="Grid Table 6 Colorful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807" w:customStyle="1">
    <w:name w:val="Grid Table 6 Colorful - Accent 3"/>
    <w:uiPriority w:val="99"/>
    <w:rPr>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808" w:customStyle="1">
    <w:name w:val="Grid Table 6 Colorful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809" w:customStyle="1">
    <w:name w:val="Grid Table 6 Colorful - Accent 5"/>
    <w:uiPriority w:val="99"/>
    <w:rPr>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810" w:customStyle="1">
    <w:name w:val="Grid Table 6 Colorful - Accent 6"/>
    <w:uiPriority w:val="99"/>
    <w:rPr>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811" w:customStyle="1">
    <w:name w:val="Таблица-сетка 7 цветная1"/>
    <w:uiPriority w:val="99"/>
    <w:rPr>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812" w:customStyle="1">
    <w:name w:val="Grid Table 7 Colorful - Accent 1"/>
    <w:uiPriority w:val="99"/>
    <w:rPr>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813" w:customStyle="1">
    <w:name w:val="Grid Table 7 Colorful - Accent 2"/>
    <w:uiPriority w:val="99"/>
    <w:rPr>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814" w:customStyle="1">
    <w:name w:val="Grid Table 7 Colorful - Accent 3"/>
    <w:uiPriority w:val="99"/>
    <w:rPr>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815" w:customStyle="1">
    <w:name w:val="Grid Table 7 Colorful - Accent 4"/>
    <w:uiPriority w:val="99"/>
    <w:rPr>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816" w:customStyle="1">
    <w:name w:val="Grid Table 7 Colorful - Accent 5"/>
    <w:uiPriority w:val="99"/>
    <w:rPr>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817" w:customStyle="1">
    <w:name w:val="Grid Table 7 Colorful - Accent 6"/>
    <w:uiPriority w:val="99"/>
    <w:rPr>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818" w:customStyle="1">
    <w:name w:val="Список-таблица 1 светлая1"/>
    <w:uiPriority w:val="99"/>
    <w:rPr>
      <w:lang w:eastAsia="zh-CN"/>
    </w:rPr>
    <w:tblPr>
      <w:tblStyleRowBandSize w:val="1"/>
      <w:tblStyleColBandSize w:val="1"/>
      <w:tblInd w:w="0" w:type="dxa"/>
      <w:tblCellMar>
        <w:left w:w="0" w:type="dxa"/>
        <w:top w:w="0" w:type="dxa"/>
        <w:right w:w="0" w:type="dxa"/>
        <w:bottom w:w="0" w:type="dxa"/>
      </w:tblCellMar>
    </w:tblPr>
  </w:style>
  <w:style w:type="table" w:styleId="819" w:customStyle="1">
    <w:name w:val="List Table 1 Light - Accent 1"/>
    <w:uiPriority w:val="99"/>
    <w:rPr>
      <w:lang w:eastAsia="zh-CN"/>
    </w:rPr>
    <w:tblPr>
      <w:tblStyleRowBandSize w:val="1"/>
      <w:tblStyleColBandSize w:val="1"/>
      <w:tblInd w:w="0" w:type="dxa"/>
      <w:tblCellMar>
        <w:left w:w="0" w:type="dxa"/>
        <w:top w:w="0" w:type="dxa"/>
        <w:right w:w="0" w:type="dxa"/>
        <w:bottom w:w="0" w:type="dxa"/>
      </w:tblCellMar>
    </w:tblPr>
  </w:style>
  <w:style w:type="table" w:styleId="820" w:customStyle="1">
    <w:name w:val="List Table 1 Light - Accent 2"/>
    <w:uiPriority w:val="99"/>
    <w:rPr>
      <w:lang w:eastAsia="zh-CN"/>
    </w:rPr>
    <w:tblPr>
      <w:tblStyleRowBandSize w:val="1"/>
      <w:tblStyleColBandSize w:val="1"/>
      <w:tblInd w:w="0" w:type="dxa"/>
      <w:tblCellMar>
        <w:left w:w="0" w:type="dxa"/>
        <w:top w:w="0" w:type="dxa"/>
        <w:right w:w="0" w:type="dxa"/>
        <w:bottom w:w="0" w:type="dxa"/>
      </w:tblCellMar>
    </w:tblPr>
  </w:style>
  <w:style w:type="table" w:styleId="821" w:customStyle="1">
    <w:name w:val="List Table 1 Light - Accent 3"/>
    <w:uiPriority w:val="99"/>
    <w:rPr>
      <w:lang w:eastAsia="zh-CN"/>
    </w:rPr>
    <w:tblPr>
      <w:tblStyleRowBandSize w:val="1"/>
      <w:tblStyleColBandSize w:val="1"/>
      <w:tblInd w:w="0" w:type="dxa"/>
      <w:tblCellMar>
        <w:left w:w="0" w:type="dxa"/>
        <w:top w:w="0" w:type="dxa"/>
        <w:right w:w="0" w:type="dxa"/>
        <w:bottom w:w="0" w:type="dxa"/>
      </w:tblCellMar>
    </w:tblPr>
  </w:style>
  <w:style w:type="table" w:styleId="822" w:customStyle="1">
    <w:name w:val="List Table 1 Light - Accent 4"/>
    <w:uiPriority w:val="99"/>
    <w:rPr>
      <w:lang w:eastAsia="zh-CN"/>
    </w:rPr>
    <w:tblPr>
      <w:tblStyleRowBandSize w:val="1"/>
      <w:tblStyleColBandSize w:val="1"/>
      <w:tblInd w:w="0" w:type="dxa"/>
      <w:tblCellMar>
        <w:left w:w="0" w:type="dxa"/>
        <w:top w:w="0" w:type="dxa"/>
        <w:right w:w="0" w:type="dxa"/>
        <w:bottom w:w="0" w:type="dxa"/>
      </w:tblCellMar>
    </w:tblPr>
  </w:style>
  <w:style w:type="table" w:styleId="823" w:customStyle="1">
    <w:name w:val="List Table 1 Light - Accent 5"/>
    <w:uiPriority w:val="99"/>
    <w:rPr>
      <w:lang w:eastAsia="zh-CN"/>
    </w:rPr>
    <w:tblPr>
      <w:tblStyleRowBandSize w:val="1"/>
      <w:tblStyleColBandSize w:val="1"/>
      <w:tblInd w:w="0" w:type="dxa"/>
      <w:tblCellMar>
        <w:left w:w="0" w:type="dxa"/>
        <w:top w:w="0" w:type="dxa"/>
        <w:right w:w="0" w:type="dxa"/>
        <w:bottom w:w="0" w:type="dxa"/>
      </w:tblCellMar>
    </w:tblPr>
  </w:style>
  <w:style w:type="table" w:styleId="824" w:customStyle="1">
    <w:name w:val="List Table 1 Light - Accent 6"/>
    <w:uiPriority w:val="99"/>
    <w:rPr>
      <w:lang w:eastAsia="zh-CN"/>
    </w:rPr>
    <w:tblPr>
      <w:tblStyleRowBandSize w:val="1"/>
      <w:tblStyleColBandSize w:val="1"/>
      <w:tblInd w:w="0" w:type="dxa"/>
      <w:tblCellMar>
        <w:left w:w="0" w:type="dxa"/>
        <w:top w:w="0" w:type="dxa"/>
        <w:right w:w="0" w:type="dxa"/>
        <w:bottom w:w="0" w:type="dxa"/>
      </w:tblCellMar>
    </w:tblPr>
  </w:style>
  <w:style w:type="table" w:styleId="825" w:customStyle="1">
    <w:name w:val="Список-таблица 21"/>
    <w:uiPriority w:val="99"/>
    <w:rPr>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826" w:customStyle="1">
    <w:name w:val="List Table 2 - Accent 1"/>
    <w:uiPriority w:val="99"/>
    <w:rPr>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827" w:customStyle="1">
    <w:name w:val="List Table 2 - Accent 2"/>
    <w:uiPriority w:val="99"/>
    <w:rPr>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828" w:customStyle="1">
    <w:name w:val="List Table 2 - Accent 3"/>
    <w:uiPriority w:val="99"/>
    <w:rPr>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829" w:customStyle="1">
    <w:name w:val="List Table 2 - Accent 4"/>
    <w:uiPriority w:val="99"/>
    <w:rPr>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830" w:customStyle="1">
    <w:name w:val="List Table 2 - Accent 5"/>
    <w:uiPriority w:val="99"/>
    <w:rPr>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831" w:customStyle="1">
    <w:name w:val="List Table 2 - Accent 6"/>
    <w:uiPriority w:val="99"/>
    <w:rPr>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832" w:customStyle="1">
    <w:name w:val="Список-таблица 31"/>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833" w:customStyle="1">
    <w:name w:val="List Table 3 - Accent 1"/>
    <w:uiPriority w:val="99"/>
    <w:rPr>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834" w:customStyle="1">
    <w:name w:val="List Table 3 - Accent 2"/>
    <w:uiPriority w:val="99"/>
    <w:rPr>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835" w:customStyle="1">
    <w:name w:val="List Table 3 - Accent 3"/>
    <w:uiPriority w:val="99"/>
    <w:rPr>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836" w:customStyle="1">
    <w:name w:val="List Table 3 - Accent 4"/>
    <w:uiPriority w:val="99"/>
    <w:rPr>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837" w:customStyle="1">
    <w:name w:val="List Table 3 - Accent 5"/>
    <w:uiPriority w:val="99"/>
    <w:rPr>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838" w:customStyle="1">
    <w:name w:val="List Table 3 - Accent 6"/>
    <w:uiPriority w:val="99"/>
    <w:rPr>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839" w:customStyle="1">
    <w:name w:val="Список-таблица 41"/>
    <w:uiPriority w:val="99"/>
    <w:rPr>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840" w:customStyle="1">
    <w:name w:val="List Table 4 - Accent 1"/>
    <w:uiPriority w:val="99"/>
    <w:rPr>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841" w:customStyle="1">
    <w:name w:val="List Table 4 - Accent 2"/>
    <w:uiPriority w:val="99"/>
    <w:rPr>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842" w:customStyle="1">
    <w:name w:val="List Table 4 - Accent 3"/>
    <w:uiPriority w:val="99"/>
    <w:rPr>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843" w:customStyle="1">
    <w:name w:val="List Table 4 - Accent 4"/>
    <w:uiPriority w:val="99"/>
    <w:rPr>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844" w:customStyle="1">
    <w:name w:val="List Table 4 - Accent 5"/>
    <w:uiPriority w:val="99"/>
    <w:rPr>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845" w:customStyle="1">
    <w:name w:val="List Table 4 - Accent 6"/>
    <w:uiPriority w:val="99"/>
    <w:rPr>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846" w:customStyle="1">
    <w:name w:val="Список-таблица 5 темная1"/>
    <w:uiPriority w:val="99"/>
    <w:rPr>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style>
  <w:style w:type="table" w:styleId="847" w:customStyle="1">
    <w:name w:val="List Table 5 Dark - Accent 1"/>
    <w:uiPriority w:val="99"/>
    <w:rPr>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style>
  <w:style w:type="table" w:styleId="848" w:customStyle="1">
    <w:name w:val="List Table 5 Dark - Accent 2"/>
    <w:uiPriority w:val="99"/>
    <w:rPr>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style>
  <w:style w:type="table" w:styleId="849" w:customStyle="1">
    <w:name w:val="List Table 5 Dark - Accent 3"/>
    <w:uiPriority w:val="99"/>
    <w:rPr>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style>
  <w:style w:type="table" w:styleId="850" w:customStyle="1">
    <w:name w:val="List Table 5 Dark - Accent 4"/>
    <w:uiPriority w:val="99"/>
    <w:rPr>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style>
  <w:style w:type="table" w:styleId="851" w:customStyle="1">
    <w:name w:val="List Table 5 Dark - Accent 5"/>
    <w:uiPriority w:val="99"/>
    <w:rPr>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style>
  <w:style w:type="table" w:styleId="852" w:customStyle="1">
    <w:name w:val="List Table 5 Dark - Accent 6"/>
    <w:uiPriority w:val="99"/>
    <w:rPr>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style>
  <w:style w:type="table" w:styleId="853" w:customStyle="1">
    <w:name w:val="Список-таблица 6 цветная1"/>
    <w:uiPriority w:val="99"/>
    <w:rPr>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854" w:customStyle="1">
    <w:name w:val="List Table 6 Colorful - Accent 1"/>
    <w:uiPriority w:val="99"/>
    <w:rPr>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855" w:customStyle="1">
    <w:name w:val="List Table 6 Colorful - Accent 2"/>
    <w:uiPriority w:val="99"/>
    <w:rPr>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856" w:customStyle="1">
    <w:name w:val="List Table 6 Colorful - Accent 3"/>
    <w:uiPriority w:val="99"/>
    <w:rPr>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857" w:customStyle="1">
    <w:name w:val="List Table 6 Colorful - Accent 4"/>
    <w:uiPriority w:val="99"/>
    <w:rPr>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858" w:customStyle="1">
    <w:name w:val="List Table 6 Colorful - Accent 5"/>
    <w:uiPriority w:val="99"/>
    <w:rPr>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859" w:customStyle="1">
    <w:name w:val="List Table 6 Colorful - Accent 6"/>
    <w:uiPriority w:val="99"/>
    <w:rPr>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860" w:customStyle="1">
    <w:name w:val="Список-таблица 7 цветная1"/>
    <w:uiPriority w:val="99"/>
    <w:rPr>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861" w:customStyle="1">
    <w:name w:val="List Table 7 Colorful - Accent 1"/>
    <w:uiPriority w:val="99"/>
    <w:rPr>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862" w:customStyle="1">
    <w:name w:val="List Table 7 Colorful - Accent 2"/>
    <w:uiPriority w:val="99"/>
    <w:rPr>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863" w:customStyle="1">
    <w:name w:val="List Table 7 Colorful - Accent 3"/>
    <w:uiPriority w:val="99"/>
    <w:rPr>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864" w:customStyle="1">
    <w:name w:val="List Table 7 Colorful - Accent 4"/>
    <w:uiPriority w:val="99"/>
    <w:rPr>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865" w:customStyle="1">
    <w:name w:val="List Table 7 Colorful - Accent 5"/>
    <w:uiPriority w:val="99"/>
    <w:rPr>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866" w:customStyle="1">
    <w:name w:val="List Table 7 Colorful - Accent 6"/>
    <w:uiPriority w:val="99"/>
    <w:rPr>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867" w:customStyle="1">
    <w:name w:val="Lined - Accent"/>
    <w:uiPriority w:val="99"/>
    <w:rPr>
      <w:color w:val="404040"/>
    </w:rPr>
    <w:tblPr>
      <w:tblStyleRowBandSize w:val="1"/>
      <w:tblStyleColBandSize w:val="1"/>
      <w:tblInd w:w="0" w:type="dxa"/>
      <w:tblCellMar>
        <w:left w:w="0" w:type="dxa"/>
        <w:top w:w="0" w:type="dxa"/>
        <w:right w:w="0" w:type="dxa"/>
        <w:bottom w:w="0" w:type="dxa"/>
      </w:tblCellMar>
    </w:tblPr>
  </w:style>
  <w:style w:type="table" w:styleId="868" w:customStyle="1">
    <w:name w:val="Lined - Accent 1"/>
    <w:uiPriority w:val="99"/>
    <w:rPr>
      <w:color w:val="404040"/>
    </w:rPr>
    <w:tblPr>
      <w:tblStyleRowBandSize w:val="1"/>
      <w:tblStyleColBandSize w:val="1"/>
      <w:tblInd w:w="0" w:type="dxa"/>
      <w:tblCellMar>
        <w:left w:w="0" w:type="dxa"/>
        <w:top w:w="0" w:type="dxa"/>
        <w:right w:w="0" w:type="dxa"/>
        <w:bottom w:w="0" w:type="dxa"/>
      </w:tblCellMar>
    </w:tblPr>
  </w:style>
  <w:style w:type="table" w:styleId="869" w:customStyle="1">
    <w:name w:val="Lined - Accent 2"/>
    <w:uiPriority w:val="99"/>
    <w:rPr>
      <w:color w:val="404040"/>
    </w:rPr>
    <w:tblPr>
      <w:tblStyleRowBandSize w:val="1"/>
      <w:tblStyleColBandSize w:val="1"/>
      <w:tblInd w:w="0" w:type="dxa"/>
      <w:tblCellMar>
        <w:left w:w="0" w:type="dxa"/>
        <w:top w:w="0" w:type="dxa"/>
        <w:right w:w="0" w:type="dxa"/>
        <w:bottom w:w="0" w:type="dxa"/>
      </w:tblCellMar>
    </w:tblPr>
  </w:style>
  <w:style w:type="table" w:styleId="870" w:customStyle="1">
    <w:name w:val="Lined - Accent 3"/>
    <w:uiPriority w:val="99"/>
    <w:rPr>
      <w:color w:val="404040"/>
    </w:rPr>
    <w:tblPr>
      <w:tblStyleRowBandSize w:val="1"/>
      <w:tblStyleColBandSize w:val="1"/>
      <w:tblInd w:w="0" w:type="dxa"/>
      <w:tblCellMar>
        <w:left w:w="0" w:type="dxa"/>
        <w:top w:w="0" w:type="dxa"/>
        <w:right w:w="0" w:type="dxa"/>
        <w:bottom w:w="0" w:type="dxa"/>
      </w:tblCellMar>
    </w:tblPr>
  </w:style>
  <w:style w:type="table" w:styleId="871" w:customStyle="1">
    <w:name w:val="Lined - Accent 4"/>
    <w:uiPriority w:val="99"/>
    <w:rPr>
      <w:color w:val="404040"/>
    </w:rPr>
    <w:tblPr>
      <w:tblStyleRowBandSize w:val="1"/>
      <w:tblStyleColBandSize w:val="1"/>
      <w:tblInd w:w="0" w:type="dxa"/>
      <w:tblCellMar>
        <w:left w:w="0" w:type="dxa"/>
        <w:top w:w="0" w:type="dxa"/>
        <w:right w:w="0" w:type="dxa"/>
        <w:bottom w:w="0" w:type="dxa"/>
      </w:tblCellMar>
    </w:tblPr>
  </w:style>
  <w:style w:type="table" w:styleId="872" w:customStyle="1">
    <w:name w:val="Lined - Accent 5"/>
    <w:uiPriority w:val="99"/>
    <w:rPr>
      <w:color w:val="404040"/>
    </w:rPr>
    <w:tblPr>
      <w:tblStyleRowBandSize w:val="1"/>
      <w:tblStyleColBandSize w:val="1"/>
      <w:tblInd w:w="0" w:type="dxa"/>
      <w:tblCellMar>
        <w:left w:w="0" w:type="dxa"/>
        <w:top w:w="0" w:type="dxa"/>
        <w:right w:w="0" w:type="dxa"/>
        <w:bottom w:w="0" w:type="dxa"/>
      </w:tblCellMar>
    </w:tblPr>
  </w:style>
  <w:style w:type="table" w:styleId="873" w:customStyle="1">
    <w:name w:val="Lined - Accent 6"/>
    <w:uiPriority w:val="99"/>
    <w:rPr>
      <w:color w:val="404040"/>
    </w:rPr>
    <w:tblPr>
      <w:tblStyleRowBandSize w:val="1"/>
      <w:tblStyleColBandSize w:val="1"/>
      <w:tblInd w:w="0" w:type="dxa"/>
      <w:tblCellMar>
        <w:left w:w="0" w:type="dxa"/>
        <w:top w:w="0" w:type="dxa"/>
        <w:right w:w="0" w:type="dxa"/>
        <w:bottom w:w="0" w:type="dxa"/>
      </w:tblCellMar>
    </w:tblPr>
  </w:style>
  <w:style w:type="table" w:styleId="874" w:customStyle="1">
    <w:name w:val="Bordered &amp; Lined - Accent"/>
    <w:uiPriority w:val="99"/>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875" w:customStyle="1">
    <w:name w:val="Bordered &amp; Lined - Accent 1"/>
    <w:uiPriority w:val="99"/>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876" w:customStyle="1">
    <w:name w:val="Bordered &amp; Lined - Accent 2"/>
    <w:uiPriority w:val="99"/>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877" w:customStyle="1">
    <w:name w:val="Bordered &amp; Lined - Accent 3"/>
    <w:uiPriority w:val="99"/>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878" w:customStyle="1">
    <w:name w:val="Bordered &amp; Lined - Accent 4"/>
    <w:uiPriority w:val="99"/>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879" w:customStyle="1">
    <w:name w:val="Bordered &amp; Lined - Accent 5"/>
    <w:uiPriority w:val="99"/>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880" w:customStyle="1">
    <w:name w:val="Bordered &amp; Lined - Accent 6"/>
    <w:uiPriority w:val="99"/>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881" w:customStyle="1">
    <w:name w:val="Bordered"/>
    <w:uiPriority w:val="99"/>
    <w:rPr>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882" w:customStyle="1">
    <w:name w:val="Bordered - Accent 1"/>
    <w:uiPriority w:val="99"/>
    <w:rPr>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883" w:customStyle="1">
    <w:name w:val="Bordered - Accent 2"/>
    <w:uiPriority w:val="99"/>
    <w:rPr>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884" w:customStyle="1">
    <w:name w:val="Bordered - Accent 3"/>
    <w:uiPriority w:val="99"/>
    <w:rPr>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885" w:customStyle="1">
    <w:name w:val="Bordered - Accent 4"/>
    <w:uiPriority w:val="99"/>
    <w:rPr>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886" w:customStyle="1">
    <w:name w:val="Bordered - Accent 5"/>
    <w:uiPriority w:val="99"/>
    <w:rPr>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887" w:customStyle="1">
    <w:name w:val="Bordered - Accent 6"/>
    <w:uiPriority w:val="99"/>
    <w:rPr>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888">
    <w:name w:val="Hyperlink"/>
    <w:uiPriority w:val="99"/>
    <w:unhideWhenUsed/>
    <w:rPr>
      <w:color w:val="0000ff"/>
      <w:u w:val="single"/>
    </w:rPr>
  </w:style>
  <w:style w:type="paragraph" w:styleId="889">
    <w:name w:val="footnote text"/>
    <w:basedOn w:val="724"/>
    <w:link w:val="890"/>
    <w:uiPriority w:val="99"/>
    <w:semiHidden/>
    <w:unhideWhenUsed/>
    <w:pPr>
      <w:spacing w:after="40" w:line="240" w:lineRule="auto"/>
    </w:pPr>
    <w:rPr>
      <w:sz w:val="18"/>
    </w:rPr>
  </w:style>
  <w:style w:type="character" w:styleId="890" w:customStyle="1">
    <w:name w:val="Текст сноски Знак"/>
    <w:link w:val="889"/>
    <w:uiPriority w:val="99"/>
    <w:rPr>
      <w:sz w:val="18"/>
    </w:rPr>
  </w:style>
  <w:style w:type="character" w:styleId="891">
    <w:name w:val="footnote reference"/>
    <w:uiPriority w:val="99"/>
    <w:unhideWhenUsed/>
    <w:rPr>
      <w:vertAlign w:val="superscript"/>
    </w:rPr>
  </w:style>
  <w:style w:type="paragraph" w:styleId="892">
    <w:name w:val="endnote text"/>
    <w:basedOn w:val="724"/>
    <w:link w:val="893"/>
    <w:uiPriority w:val="99"/>
    <w:semiHidden/>
    <w:unhideWhenUsed/>
    <w:pPr>
      <w:spacing w:after="0" w:line="240" w:lineRule="auto"/>
    </w:pPr>
    <w:rPr>
      <w:sz w:val="20"/>
    </w:rPr>
  </w:style>
  <w:style w:type="character" w:styleId="893" w:customStyle="1">
    <w:name w:val="Текст концевой сноски Знак"/>
    <w:link w:val="892"/>
    <w:uiPriority w:val="99"/>
    <w:rPr>
      <w:sz w:val="20"/>
    </w:rPr>
  </w:style>
  <w:style w:type="character" w:styleId="894">
    <w:name w:val="endnote reference"/>
    <w:uiPriority w:val="99"/>
    <w:semiHidden/>
    <w:unhideWhenUsed/>
    <w:rPr>
      <w:vertAlign w:val="superscript"/>
    </w:rPr>
  </w:style>
  <w:style w:type="paragraph" w:styleId="895">
    <w:name w:val="toc 1"/>
    <w:basedOn w:val="724"/>
    <w:next w:val="724"/>
    <w:uiPriority w:val="39"/>
    <w:unhideWhenUsed/>
    <w:pPr>
      <w:spacing w:after="57"/>
    </w:pPr>
  </w:style>
  <w:style w:type="paragraph" w:styleId="896">
    <w:name w:val="toc 2"/>
    <w:basedOn w:val="724"/>
    <w:next w:val="724"/>
    <w:uiPriority w:val="39"/>
    <w:unhideWhenUsed/>
    <w:pPr>
      <w:ind w:left="283"/>
      <w:spacing w:after="57"/>
    </w:pPr>
  </w:style>
  <w:style w:type="paragraph" w:styleId="897">
    <w:name w:val="toc 3"/>
    <w:basedOn w:val="724"/>
    <w:next w:val="724"/>
    <w:uiPriority w:val="39"/>
    <w:unhideWhenUsed/>
    <w:pPr>
      <w:ind w:left="567"/>
      <w:spacing w:after="57"/>
    </w:pPr>
  </w:style>
  <w:style w:type="paragraph" w:styleId="898">
    <w:name w:val="toc 4"/>
    <w:basedOn w:val="724"/>
    <w:next w:val="724"/>
    <w:uiPriority w:val="39"/>
    <w:unhideWhenUsed/>
    <w:pPr>
      <w:ind w:left="850"/>
      <w:spacing w:after="57"/>
    </w:pPr>
  </w:style>
  <w:style w:type="paragraph" w:styleId="899">
    <w:name w:val="toc 5"/>
    <w:basedOn w:val="724"/>
    <w:next w:val="724"/>
    <w:uiPriority w:val="39"/>
    <w:unhideWhenUsed/>
    <w:pPr>
      <w:ind w:left="1134"/>
      <w:spacing w:after="57"/>
    </w:pPr>
  </w:style>
  <w:style w:type="paragraph" w:styleId="900">
    <w:name w:val="toc 6"/>
    <w:basedOn w:val="724"/>
    <w:next w:val="724"/>
    <w:uiPriority w:val="39"/>
    <w:unhideWhenUsed/>
    <w:pPr>
      <w:ind w:left="1417"/>
      <w:spacing w:after="57"/>
    </w:pPr>
  </w:style>
  <w:style w:type="paragraph" w:styleId="901">
    <w:name w:val="toc 7"/>
    <w:basedOn w:val="724"/>
    <w:next w:val="724"/>
    <w:uiPriority w:val="39"/>
    <w:unhideWhenUsed/>
    <w:pPr>
      <w:ind w:left="1701"/>
      <w:spacing w:after="57"/>
    </w:pPr>
  </w:style>
  <w:style w:type="paragraph" w:styleId="902">
    <w:name w:val="toc 8"/>
    <w:basedOn w:val="724"/>
    <w:next w:val="724"/>
    <w:uiPriority w:val="39"/>
    <w:unhideWhenUsed/>
    <w:pPr>
      <w:ind w:left="1984"/>
      <w:spacing w:after="57"/>
    </w:pPr>
  </w:style>
  <w:style w:type="paragraph" w:styleId="903">
    <w:name w:val="toc 9"/>
    <w:basedOn w:val="724"/>
    <w:next w:val="724"/>
    <w:uiPriority w:val="39"/>
    <w:unhideWhenUsed/>
    <w:pPr>
      <w:ind w:left="2268"/>
      <w:spacing w:after="57"/>
    </w:pPr>
  </w:style>
  <w:style w:type="paragraph" w:styleId="904">
    <w:name w:val="TOC Heading"/>
    <w:uiPriority w:val="39"/>
    <w:unhideWhenUsed/>
    <w:rPr>
      <w:lang w:eastAsia="zh-CN"/>
    </w:rPr>
  </w:style>
  <w:style w:type="paragraph" w:styleId="905">
    <w:name w:val="table of figures"/>
    <w:basedOn w:val="724"/>
    <w:next w:val="724"/>
    <w:uiPriority w:val="99"/>
    <w:unhideWhenUsed/>
    <w:pPr>
      <w:spacing w:after="0"/>
    </w:pPr>
  </w:style>
  <w:style w:type="character" w:styleId="906">
    <w:name w:val="Emphasis"/>
    <w:uiPriority w:val="20"/>
    <w:qFormat/>
    <w:rPr>
      <w:i/>
      <w:iCs/>
    </w:rPr>
  </w:style>
  <w:style w:type="character" w:styleId="907">
    <w:name w:val="Strong"/>
    <w:uiPriority w:val="22"/>
    <w:qFormat/>
    <w:rPr>
      <w:b/>
      <w:bCs/>
    </w:rPr>
  </w:style>
  <w:style w:type="character" w:styleId="908" w:customStyle="1">
    <w:name w:val="Верхний колонтитул Знак"/>
    <w:link w:val="756"/>
    <w:uiPriority w:val="99"/>
    <w:rPr>
      <w:sz w:val="22"/>
      <w:szCs w:val="22"/>
      <w:lang w:eastAsia="en-US"/>
    </w:rPr>
  </w:style>
  <w:style w:type="character" w:styleId="909" w:customStyle="1">
    <w:name w:val="Нижний колонтитул Знак"/>
    <w:link w:val="758"/>
    <w:uiPriority w:val="99"/>
    <w:semiHidden/>
    <w:rPr>
      <w:sz w:val="22"/>
      <w:szCs w:val="22"/>
      <w:lang w:eastAsia="en-US"/>
    </w:rPr>
  </w:style>
  <w:style w:type="paragraph" w:styleId="910">
    <w:name w:val="Normal (Web)"/>
    <w:basedOn w:val="724"/>
    <w:uiPriority w:val="99"/>
    <w:unhideWhenUsed/>
    <w:pPr>
      <w:spacing w:before="100" w:beforeAutospacing="1" w:after="100" w:afterAutospacing="1" w:line="240" w:lineRule="auto"/>
    </w:pPr>
    <w:rPr>
      <w:rFonts w:eastAsia="Times New Roman"/>
      <w:sz w:val="24"/>
      <w:szCs w:val="24"/>
      <w:lang w:eastAsia="ru-RU"/>
    </w:rPr>
  </w:style>
  <w:style w:type="paragraph" w:styleId="911">
    <w:name w:val="HTML Preformatted"/>
    <w:basedOn w:val="724"/>
    <w:link w:val="912"/>
    <w:uiPriority w:val="99"/>
    <w:unhideWhenUsed/>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0"/>
      <w:szCs w:val="20"/>
      <w:lang w:eastAsia="ru-RU"/>
    </w:rPr>
  </w:style>
  <w:style w:type="character" w:styleId="912" w:customStyle="1">
    <w:name w:val="Стандартный HTML Знак"/>
    <w:link w:val="911"/>
    <w:uiPriority w:val="99"/>
    <w:semiHidden/>
    <w:rPr>
      <w:rFonts w:ascii="Courier New" w:hAnsi="Courier New" w:eastAsia="Times New Roman" w:cs="Courier New"/>
    </w:rPr>
  </w:style>
  <w:style w:type="paragraph" w:styleId="913" w:customStyle="1">
    <w:name w:val="ConsPlusNormal"/>
    <w:pPr>
      <w:ind w:firstLine="720"/>
      <w:widowControl w:val="off"/>
    </w:pPr>
    <w:rPr>
      <w:rFonts w:ascii="Arial" w:hAnsi="Arial" w:eastAsia="Times New Roman" w:cs="Arial"/>
    </w:rPr>
  </w:style>
  <w:style w:type="paragraph" w:styleId="914" w:customStyle="1">
    <w:name w:val="s_1"/>
    <w:basedOn w:val="724"/>
    <w:pPr>
      <w:spacing w:before="100" w:beforeAutospacing="1" w:after="100" w:afterAutospacing="1" w:line="240" w:lineRule="auto"/>
    </w:pPr>
    <w:rPr>
      <w:rFonts w:eastAsia="Times New Roman"/>
      <w:sz w:val="24"/>
      <w:szCs w:val="24"/>
      <w:lang w:eastAsia="ru-RU"/>
    </w:rPr>
  </w:style>
  <w:style w:type="paragraph" w:styleId="915">
    <w:name w:val="Balloon Text"/>
    <w:basedOn w:val="724"/>
    <w:link w:val="916"/>
    <w:uiPriority w:val="99"/>
    <w:semiHidden/>
    <w:unhideWhenUsed/>
    <w:pPr>
      <w:spacing w:after="0" w:line="240" w:lineRule="auto"/>
    </w:pPr>
    <w:rPr>
      <w:rFonts w:ascii="Segoe UI" w:hAnsi="Segoe UI" w:cs="Segoe UI"/>
      <w:sz w:val="18"/>
      <w:szCs w:val="18"/>
    </w:rPr>
  </w:style>
  <w:style w:type="character" w:styleId="916" w:customStyle="1">
    <w:name w:val="Текст выноски Знак"/>
    <w:link w:val="915"/>
    <w:uiPriority w:val="99"/>
    <w:semiHidden/>
    <w:rPr>
      <w:rFonts w:ascii="Segoe UI" w:hAnsi="Segoe UI" w:cs="Segoe UI"/>
      <w:sz w:val="18"/>
      <w:szCs w:val="18"/>
      <w:lang w:eastAsia="en-US"/>
    </w:rPr>
  </w:style>
  <w:style w:type="character" w:styleId="917" w:customStyle="1">
    <w:name w:val="docdata;docy;v5;4924;bqiaagaaeyqcaaagiaiaaaojegaabbesaaaaaaaaaaaaaaaaaaaaaaaaaaaaaaaaaaaaaaaaaaaaaaaaaaaaaaaaaaaaaaaaaaaaaaaaaaaaaaaaaaaaaaaaaaaaaaaaaaaaaaaaaaaaaaaaaaaaaaaaaaaaaaaaaaaaaaaaaaaaaaaaaaaaaaaaaaaaaaaaaaaaaaaaaaaaaaaaaaaaaaaaaaaaaaaaaaaaaaaa"/>
  </w:style>
  <w:style w:type="paragraph" w:styleId="918" w:customStyle="1">
    <w:name w:val="docdata"/>
    <w:basedOn w:val="724"/>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yperlink" Target="https://base.garant.ru/12184447/285e77e2f0c60ac6b30f04a5bd74965e/" TargetMode="External"/><Relationship Id="rId11" Type="http://schemas.openxmlformats.org/officeDocument/2006/relationships/hyperlink" Target="consultantplus://offline/ref=E44E43D2F0636ED8EC30223231CFF78333F2C994AD49740309E27728C4C58ACBBC3B47022E8377CCACA713B9716A5EE429C46EAF543FC4F3i9q9J" TargetMode="External"/><Relationship Id="rId12" Type="http://schemas.openxmlformats.org/officeDocument/2006/relationships/hyperlink" Target="https://base.garant.ru/12184447/285e77e2f0c60ac6b30f04a5bd74965e/" TargetMode="External"/><Relationship Id="rId13" Type="http://schemas.openxmlformats.org/officeDocument/2006/relationships/hyperlink" Target="consultantplus://offline/ref=E44E43D2F0636ED8EC30223231CFF78333F2C994AD49740309E27728C4C58ACBBC3B47022E8377CCACA713B9716A5EE429C46EAF543FC4F3i9q9J" TargetMode="External"/><Relationship Id="rId14" Type="http://schemas.openxmlformats.org/officeDocument/2006/relationships/hyperlink" Target="https://base.garant.ru/12184447/285e77e2f0c60ac6b30f04a5bd74965e/"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Р7-Офис/2024.2.1.461</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dc:creator>
  <cp:revision>15</cp:revision>
  <dcterms:created xsi:type="dcterms:W3CDTF">2025-03-03T10:00:00Z</dcterms:created>
  <dcterms:modified xsi:type="dcterms:W3CDTF">2026-03-25T11:14:35Z</dcterms:modified>
  <cp:version>1048576</cp:version>
</cp:coreProperties>
</file>